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79" w:rsidRPr="00394897" w:rsidRDefault="00A90379" w:rsidP="00FB72E2">
      <w:pPr>
        <w:spacing w:line="380" w:lineRule="exact"/>
        <w:jc w:val="center"/>
        <w:rPr>
          <w:rFonts w:ascii="黑体" w:eastAsia="黑体" w:hint="eastAsia"/>
          <w:sz w:val="36"/>
          <w:szCs w:val="36"/>
        </w:rPr>
      </w:pPr>
      <w:r w:rsidRPr="00394897">
        <w:rPr>
          <w:rFonts w:ascii="黑体" w:eastAsia="黑体" w:hint="eastAsia"/>
          <w:sz w:val="36"/>
          <w:szCs w:val="36"/>
        </w:rPr>
        <w:t>四川富临实业集团有限公司</w:t>
      </w:r>
    </w:p>
    <w:p w:rsidR="00A90379" w:rsidRPr="00394897" w:rsidRDefault="00A90379" w:rsidP="00FB72E2">
      <w:pPr>
        <w:spacing w:line="380" w:lineRule="exact"/>
        <w:jc w:val="center"/>
        <w:rPr>
          <w:rFonts w:ascii="黑体" w:eastAsia="黑体" w:hint="eastAsia"/>
          <w:sz w:val="36"/>
          <w:szCs w:val="36"/>
        </w:rPr>
      </w:pPr>
      <w:r w:rsidRPr="00394897">
        <w:rPr>
          <w:rFonts w:ascii="黑体" w:eastAsia="黑体" w:hint="eastAsia"/>
          <w:sz w:val="36"/>
          <w:szCs w:val="36"/>
        </w:rPr>
        <w:t>2016年校园招聘</w:t>
      </w:r>
      <w:r w:rsidR="00394897" w:rsidRPr="00394897">
        <w:rPr>
          <w:rFonts w:ascii="黑体" w:eastAsia="黑体" w:hint="eastAsia"/>
          <w:sz w:val="36"/>
          <w:szCs w:val="36"/>
        </w:rPr>
        <w:t>简章</w:t>
      </w:r>
    </w:p>
    <w:p w:rsidR="00E21685" w:rsidRDefault="00E21685" w:rsidP="00FB72E2">
      <w:pPr>
        <w:spacing w:line="380" w:lineRule="exact"/>
        <w:ind w:firstLineChars="200" w:firstLine="482"/>
        <w:rPr>
          <w:rFonts w:asciiTheme="minorEastAsia" w:hAnsiTheme="minorEastAsia" w:hint="eastAsia"/>
          <w:b/>
          <w:sz w:val="24"/>
          <w:szCs w:val="24"/>
        </w:rPr>
      </w:pPr>
    </w:p>
    <w:p w:rsidR="001D5922" w:rsidRPr="00E21685" w:rsidRDefault="00394897" w:rsidP="00E21685">
      <w:pPr>
        <w:spacing w:line="380" w:lineRule="exact"/>
        <w:ind w:firstLineChars="200" w:firstLine="482"/>
        <w:rPr>
          <w:rFonts w:asciiTheme="minorEastAsia" w:hAnsiTheme="minorEastAsia" w:hint="eastAsia"/>
          <w:b/>
          <w:sz w:val="24"/>
          <w:szCs w:val="24"/>
        </w:rPr>
      </w:pPr>
      <w:r w:rsidRPr="00394897">
        <w:rPr>
          <w:rFonts w:asciiTheme="minorEastAsia" w:hAnsiTheme="minorEastAsia" w:hint="eastAsia"/>
          <w:b/>
          <w:sz w:val="24"/>
          <w:szCs w:val="24"/>
        </w:rPr>
        <w:t>一、企业简介</w:t>
      </w:r>
    </w:p>
    <w:p w:rsidR="00394897" w:rsidRP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四川富临实业集团有限公司 （以下简称富临集团）创立于1995年，主要产业分布在工业、房地产、现代服务业、能源、金融五大领域，员工1万余人。作为一家立足于市场竞争的综合性民营企业，致力于在各个环节上打造核心竞争能力，富临集团长期以来提供的优质产品和专业服务得到广大消费者的一致认同，享有良好声誉。</w:t>
      </w:r>
    </w:p>
    <w:p w:rsidR="00394897" w:rsidRP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富临集团坚持“以人为本，诚信敬业”的经营理念和“发展实业，造福社会”的企业宗旨，不懈推进战略转型和管理变革，实现了企业持续、健康、快速发展，是四川省委、省政府选定的 “79户大企业、大集团重点培育企业”。2014年，同时入围四川省培育大企业大集团联席会议办公室发布的“2014年度四川省大企业大集团培育”名单和“2014年度制造业100强”名单，位列2014年四川企业百强第41位；先后荣获“全国先进基层党组织”、“全国五一劳动奖状”、全国首批非公有制企业“双强百佳党组织”、“全国就业与社会保障先进民营企业”、“抗震救灾先进单位”等荣誉称号。</w:t>
      </w:r>
    </w:p>
    <w:p w:rsidR="00394897" w:rsidRP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企业创始人、董事长安治富先生先后担任绵阳市工商联主席，绵阳市人大常委，四川省企业联合会、四川省企业家协会理事会常务理事，四川省企业信用协会副会长，四川省总商会副会长，四川省政协常委，全国工商联常委等社会职务；曾被中央、省、市授予“优秀中国特色社会主义建设者”“全国五一劳动奖章”等多项荣誉称号。</w:t>
      </w:r>
    </w:p>
    <w:p w:rsidR="00394897" w:rsidRP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富临集团矢志将企业打造成受人尊敬的公司。在坚持发展的同时积极履行社会责任，先后重组、兼并了20多家国有、集体破产企业，安置下岗员工1万余人，常年为社会提供就业岗位近1.5万个。向公共卫生、残疾人事业、新农村建设、抗震救灾、体育事业、希望工程和关爱空巢老人等社会公益事业累计捐赠及投入超过2亿元。</w:t>
      </w:r>
    </w:p>
    <w:p w:rsidR="00394897" w:rsidRP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富临集团将推进企业发展、壮大作为第一要务。自创立以来，经营收入年均增长率保持在48%以上；累计缴纳税金超过30亿元，年均增长率保持在53%以上。所属富临运业（证券代码：002357）、富临精工（证券代码：300432）公司分别于2010年、2015年在深交所上市。</w:t>
      </w:r>
    </w:p>
    <w:p w:rsidR="00394897" w:rsidRDefault="00394897" w:rsidP="00FB72E2">
      <w:pPr>
        <w:spacing w:line="380" w:lineRule="exact"/>
        <w:ind w:firstLineChars="200" w:firstLine="480"/>
        <w:rPr>
          <w:rFonts w:asciiTheme="minorEastAsia" w:hAnsiTheme="minorEastAsia" w:hint="eastAsia"/>
          <w:sz w:val="24"/>
          <w:szCs w:val="24"/>
        </w:rPr>
      </w:pPr>
      <w:r w:rsidRPr="00394897">
        <w:rPr>
          <w:rFonts w:asciiTheme="minorEastAsia" w:hAnsiTheme="minorEastAsia" w:hint="eastAsia"/>
          <w:sz w:val="24"/>
          <w:szCs w:val="24"/>
        </w:rPr>
        <w:t>富临集团努力恪守企业公民的社会责任，致力于科学发展、和谐发展，打造长青基业，建设百年富临。</w:t>
      </w:r>
    </w:p>
    <w:p w:rsidR="00394897" w:rsidRDefault="00394897" w:rsidP="00FB72E2">
      <w:pPr>
        <w:spacing w:line="380" w:lineRule="exact"/>
        <w:ind w:firstLineChars="200" w:firstLine="480"/>
        <w:rPr>
          <w:rFonts w:asciiTheme="minorEastAsia" w:hAnsiTheme="minorEastAsia" w:hint="eastAsia"/>
          <w:sz w:val="24"/>
          <w:szCs w:val="24"/>
        </w:rPr>
      </w:pPr>
    </w:p>
    <w:p w:rsidR="00FB72E2" w:rsidRDefault="00FB72E2" w:rsidP="00FB72E2">
      <w:pPr>
        <w:spacing w:line="380" w:lineRule="exact"/>
        <w:ind w:firstLineChars="200" w:firstLine="480"/>
        <w:rPr>
          <w:rFonts w:asciiTheme="minorEastAsia" w:hAnsiTheme="minorEastAsia" w:hint="eastAsia"/>
          <w:sz w:val="24"/>
          <w:szCs w:val="24"/>
        </w:rPr>
      </w:pPr>
    </w:p>
    <w:p w:rsidR="00FB72E2" w:rsidRPr="00394897" w:rsidRDefault="00FB72E2" w:rsidP="00FB72E2">
      <w:pPr>
        <w:spacing w:line="380" w:lineRule="exact"/>
        <w:ind w:firstLineChars="200" w:firstLine="480"/>
        <w:rPr>
          <w:rFonts w:asciiTheme="minorEastAsia" w:hAnsiTheme="minorEastAsia" w:hint="eastAsia"/>
          <w:sz w:val="24"/>
          <w:szCs w:val="24"/>
        </w:rPr>
      </w:pPr>
    </w:p>
    <w:p w:rsidR="00394897" w:rsidRPr="00394897" w:rsidRDefault="00394897" w:rsidP="00FB72E2">
      <w:pPr>
        <w:spacing w:line="380" w:lineRule="exact"/>
        <w:jc w:val="left"/>
        <w:rPr>
          <w:rFonts w:asciiTheme="minorEastAsia" w:hAnsiTheme="minorEastAsia"/>
          <w:b/>
          <w:sz w:val="24"/>
          <w:szCs w:val="24"/>
        </w:rPr>
      </w:pPr>
      <w:r w:rsidRPr="00394897">
        <w:rPr>
          <w:rFonts w:asciiTheme="minorEastAsia" w:hAnsiTheme="minorEastAsia" w:hint="eastAsia"/>
          <w:b/>
          <w:sz w:val="24"/>
          <w:szCs w:val="24"/>
        </w:rPr>
        <w:lastRenderedPageBreak/>
        <w:t>二、招聘需求</w:t>
      </w:r>
    </w:p>
    <w:p w:rsidR="00A90379" w:rsidRPr="00394897" w:rsidRDefault="00394897" w:rsidP="00FB72E2">
      <w:pPr>
        <w:spacing w:line="380" w:lineRule="exact"/>
        <w:ind w:firstLineChars="200" w:firstLine="480"/>
        <w:rPr>
          <w:rFonts w:asciiTheme="minorEastAsia" w:hAnsiTheme="minorEastAsia"/>
          <w:sz w:val="24"/>
          <w:szCs w:val="24"/>
        </w:rPr>
      </w:pPr>
      <w:r w:rsidRPr="00394897">
        <w:rPr>
          <w:rFonts w:asciiTheme="minorEastAsia" w:hAnsiTheme="minorEastAsia" w:hint="eastAsia"/>
          <w:sz w:val="24"/>
          <w:szCs w:val="24"/>
        </w:rPr>
        <w:t>在校担任过学生会干部、学习成绩优秀、综合素质高以及具备良好的心理素质和抗压能力。具体需求专业如下：</w:t>
      </w:r>
    </w:p>
    <w:tbl>
      <w:tblPr>
        <w:tblW w:w="8095" w:type="dxa"/>
        <w:tblInd w:w="93" w:type="dxa"/>
        <w:tblLook w:val="04A0"/>
      </w:tblPr>
      <w:tblGrid>
        <w:gridCol w:w="2711"/>
        <w:gridCol w:w="3400"/>
        <w:gridCol w:w="1984"/>
      </w:tblGrid>
      <w:tr w:rsidR="00FB72E2" w:rsidRPr="00394897" w:rsidTr="00FB72E2">
        <w:trPr>
          <w:trHeight w:val="487"/>
        </w:trPr>
        <w:tc>
          <w:tcPr>
            <w:tcW w:w="2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
                <w:bCs/>
                <w:color w:val="000000"/>
                <w:kern w:val="0"/>
                <w:sz w:val="24"/>
                <w:szCs w:val="24"/>
              </w:rPr>
            </w:pPr>
            <w:r w:rsidRPr="00394897">
              <w:rPr>
                <w:rFonts w:asciiTheme="minorEastAsia" w:hAnsiTheme="minorEastAsia" w:cs="宋体" w:hint="eastAsia"/>
                <w:b/>
                <w:bCs/>
                <w:color w:val="000000"/>
                <w:kern w:val="0"/>
                <w:sz w:val="24"/>
                <w:szCs w:val="24"/>
              </w:rPr>
              <w:t>单位</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
                <w:bCs/>
                <w:color w:val="000000"/>
                <w:kern w:val="0"/>
                <w:sz w:val="24"/>
                <w:szCs w:val="24"/>
              </w:rPr>
            </w:pPr>
            <w:r w:rsidRPr="00394897">
              <w:rPr>
                <w:rFonts w:asciiTheme="minorEastAsia" w:hAnsiTheme="minorEastAsia" w:cs="宋体" w:hint="eastAsia"/>
                <w:b/>
                <w:bCs/>
                <w:color w:val="000000"/>
                <w:kern w:val="0"/>
                <w:sz w:val="24"/>
                <w:szCs w:val="24"/>
              </w:rPr>
              <w:t>需求专业</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
                <w:bCs/>
                <w:color w:val="000000"/>
                <w:kern w:val="0"/>
                <w:sz w:val="24"/>
                <w:szCs w:val="24"/>
              </w:rPr>
            </w:pPr>
            <w:r w:rsidRPr="00394897">
              <w:rPr>
                <w:rFonts w:asciiTheme="minorEastAsia" w:hAnsiTheme="minorEastAsia" w:cs="宋体" w:hint="eastAsia"/>
                <w:b/>
                <w:bCs/>
                <w:color w:val="000000"/>
                <w:kern w:val="0"/>
                <w:sz w:val="24"/>
                <w:szCs w:val="24"/>
              </w:rPr>
              <w:t>需求数量</w:t>
            </w:r>
            <w:r w:rsidRPr="00394897">
              <w:rPr>
                <w:rFonts w:asciiTheme="minorEastAsia" w:hAnsiTheme="minorEastAsia" w:cs="宋体"/>
                <w:b/>
                <w:bCs/>
                <w:color w:val="000000"/>
                <w:kern w:val="0"/>
                <w:sz w:val="24"/>
                <w:szCs w:val="24"/>
              </w:rPr>
              <w:t>/人</w:t>
            </w:r>
          </w:p>
        </w:tc>
      </w:tr>
      <w:tr w:rsidR="00FB72E2" w:rsidRPr="00394897" w:rsidTr="00FB72E2">
        <w:trPr>
          <w:trHeight w:val="392"/>
        </w:trPr>
        <w:tc>
          <w:tcPr>
            <w:tcW w:w="2711" w:type="dxa"/>
            <w:vMerge w:val="restart"/>
            <w:tcBorders>
              <w:top w:val="single" w:sz="4" w:space="0" w:color="auto"/>
              <w:left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
                <w:bCs/>
                <w:color w:val="000000"/>
                <w:kern w:val="0"/>
                <w:sz w:val="24"/>
                <w:szCs w:val="24"/>
              </w:rPr>
            </w:pPr>
            <w:r w:rsidRPr="00394897">
              <w:rPr>
                <w:rFonts w:asciiTheme="minorEastAsia" w:hAnsiTheme="minorEastAsia" w:cs="宋体" w:hint="eastAsia"/>
                <w:color w:val="000000"/>
                <w:kern w:val="0"/>
                <w:sz w:val="24"/>
                <w:szCs w:val="24"/>
              </w:rPr>
              <w:t>集团公司本部</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hint="eastAsia"/>
                <w:bCs/>
                <w:color w:val="000000"/>
                <w:kern w:val="0"/>
                <w:sz w:val="24"/>
                <w:szCs w:val="24"/>
              </w:rPr>
              <w:t>人力资源管理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bCs/>
                <w:color w:val="000000"/>
                <w:kern w:val="0"/>
                <w:sz w:val="24"/>
                <w:szCs w:val="24"/>
              </w:rPr>
              <w:t>1</w:t>
            </w:r>
          </w:p>
        </w:tc>
      </w:tr>
      <w:tr w:rsidR="00FB72E2" w:rsidRPr="00394897" w:rsidTr="00FB72E2">
        <w:trPr>
          <w:trHeight w:val="372"/>
        </w:trPr>
        <w:tc>
          <w:tcPr>
            <w:tcW w:w="2711" w:type="dxa"/>
            <w:vMerge/>
            <w:tcBorders>
              <w:left w:val="single" w:sz="4" w:space="0" w:color="auto"/>
              <w:right w:val="single" w:sz="4" w:space="0" w:color="auto"/>
            </w:tcBorders>
            <w:shd w:val="clear" w:color="auto" w:fill="auto"/>
            <w:noWrap/>
            <w:vAlign w:val="center"/>
            <w:hideMark/>
          </w:tcPr>
          <w:p w:rsidR="00FB72E2" w:rsidRPr="00394897" w:rsidRDefault="00FB72E2" w:rsidP="00FB72E2">
            <w:pPr>
              <w:keepNext/>
              <w:keepLines/>
              <w:widowControl/>
              <w:spacing w:before="340" w:after="330" w:line="380" w:lineRule="exact"/>
              <w:jc w:val="center"/>
              <w:rPr>
                <w:rFonts w:asciiTheme="minorEastAsia" w:hAnsiTheme="minorEastAsia" w:cs="宋体"/>
                <w:color w:val="000000"/>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hint="eastAsia"/>
                <w:bCs/>
                <w:color w:val="000000"/>
                <w:kern w:val="0"/>
                <w:sz w:val="24"/>
                <w:szCs w:val="24"/>
              </w:rPr>
              <w:t>企业管理（经营管理）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bCs/>
                <w:color w:val="000000"/>
                <w:kern w:val="0"/>
                <w:sz w:val="24"/>
                <w:szCs w:val="24"/>
              </w:rPr>
              <w:t>1</w:t>
            </w:r>
          </w:p>
        </w:tc>
      </w:tr>
      <w:tr w:rsidR="00FB72E2" w:rsidRPr="00394897" w:rsidTr="00FB72E2">
        <w:trPr>
          <w:trHeight w:val="377"/>
        </w:trPr>
        <w:tc>
          <w:tcPr>
            <w:tcW w:w="2711" w:type="dxa"/>
            <w:vMerge/>
            <w:tcBorders>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keepNext/>
              <w:keepLines/>
              <w:widowControl/>
              <w:spacing w:before="340" w:after="330" w:line="380" w:lineRule="exact"/>
              <w:jc w:val="center"/>
              <w:rPr>
                <w:rFonts w:asciiTheme="minorEastAsia" w:hAnsiTheme="minorEastAsia" w:cs="宋体"/>
                <w:color w:val="000000"/>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hint="eastAsia"/>
                <w:bCs/>
                <w:color w:val="000000"/>
                <w:kern w:val="0"/>
                <w:sz w:val="24"/>
                <w:szCs w:val="24"/>
              </w:rPr>
              <w:t>财务相关专业（资金方向）</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bCs/>
                <w:color w:val="000000"/>
                <w:kern w:val="0"/>
                <w:sz w:val="24"/>
                <w:szCs w:val="24"/>
              </w:rPr>
            </w:pPr>
            <w:r w:rsidRPr="00394897">
              <w:rPr>
                <w:rFonts w:asciiTheme="minorEastAsia" w:hAnsiTheme="minorEastAsia" w:cs="宋体"/>
                <w:bCs/>
                <w:color w:val="000000"/>
                <w:kern w:val="0"/>
                <w:sz w:val="24"/>
                <w:szCs w:val="24"/>
              </w:rPr>
              <w:t>3</w:t>
            </w:r>
          </w:p>
        </w:tc>
      </w:tr>
      <w:tr w:rsidR="00FB72E2" w:rsidRPr="00394897" w:rsidTr="00FB72E2">
        <w:trPr>
          <w:trHeight w:val="377"/>
        </w:trPr>
        <w:tc>
          <w:tcPr>
            <w:tcW w:w="2711" w:type="dxa"/>
            <w:tcBorders>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野马汽车</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汽车工程及相关专业</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5</w:t>
            </w:r>
          </w:p>
        </w:tc>
      </w:tr>
      <w:tr w:rsidR="00FB72E2" w:rsidRPr="00394897" w:rsidTr="00FB72E2">
        <w:trPr>
          <w:trHeight w:val="278"/>
        </w:trPr>
        <w:tc>
          <w:tcPr>
            <w:tcW w:w="2711" w:type="dxa"/>
            <w:vMerge w:val="restart"/>
            <w:tcBorders>
              <w:top w:val="nil"/>
              <w:left w:val="single" w:sz="4" w:space="0" w:color="auto"/>
              <w:right w:val="single" w:sz="4" w:space="0" w:color="auto"/>
            </w:tcBorders>
            <w:shd w:val="clear" w:color="auto" w:fill="auto"/>
            <w:noWrap/>
            <w:vAlign w:val="center"/>
            <w:hideMark/>
          </w:tcPr>
          <w:p w:rsidR="00FB72E2" w:rsidRPr="00394897" w:rsidRDefault="00FB72E2" w:rsidP="00FB72E2">
            <w:pPr>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富临精工</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人力资源管理</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1</w:t>
            </w:r>
          </w:p>
        </w:tc>
      </w:tr>
      <w:tr w:rsidR="00FB72E2" w:rsidRPr="00394897" w:rsidTr="00FB72E2">
        <w:trPr>
          <w:trHeight w:val="278"/>
        </w:trPr>
        <w:tc>
          <w:tcPr>
            <w:tcW w:w="2711" w:type="dxa"/>
            <w:vMerge/>
            <w:tcBorders>
              <w:left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热能与动力</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4</w:t>
            </w:r>
          </w:p>
        </w:tc>
      </w:tr>
      <w:tr w:rsidR="00FB72E2" w:rsidRPr="00394897" w:rsidTr="00FB72E2">
        <w:trPr>
          <w:trHeight w:val="278"/>
        </w:trPr>
        <w:tc>
          <w:tcPr>
            <w:tcW w:w="2711" w:type="dxa"/>
            <w:vMerge/>
            <w:tcBorders>
              <w:left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工业工程</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4</w:t>
            </w:r>
          </w:p>
        </w:tc>
      </w:tr>
      <w:tr w:rsidR="00FB72E2" w:rsidRPr="00394897" w:rsidTr="00FB72E2">
        <w:trPr>
          <w:trHeight w:val="278"/>
        </w:trPr>
        <w:tc>
          <w:tcPr>
            <w:tcW w:w="2711" w:type="dxa"/>
            <w:vMerge/>
            <w:tcBorders>
              <w:left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计算机及相关专业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2</w:t>
            </w:r>
          </w:p>
        </w:tc>
      </w:tr>
      <w:tr w:rsidR="00FB72E2" w:rsidRPr="00394897" w:rsidTr="00FB72E2">
        <w:trPr>
          <w:trHeight w:val="278"/>
        </w:trPr>
        <w:tc>
          <w:tcPr>
            <w:tcW w:w="2711" w:type="dxa"/>
            <w:vMerge/>
            <w:tcBorders>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机械设计及其自动化</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4</w:t>
            </w:r>
          </w:p>
        </w:tc>
      </w:tr>
      <w:tr w:rsidR="00FB72E2" w:rsidRPr="00394897" w:rsidTr="00FB72E2">
        <w:trPr>
          <w:trHeight w:val="278"/>
        </w:trPr>
        <w:tc>
          <w:tcPr>
            <w:tcW w:w="2711" w:type="dxa"/>
            <w:vMerge w:val="restart"/>
            <w:tcBorders>
              <w:top w:val="nil"/>
              <w:left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成都物业</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物业管理及相关专业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5</w:t>
            </w:r>
          </w:p>
        </w:tc>
      </w:tr>
      <w:tr w:rsidR="00FB72E2" w:rsidRPr="00394897" w:rsidTr="00FB72E2">
        <w:trPr>
          <w:trHeight w:val="278"/>
        </w:trPr>
        <w:tc>
          <w:tcPr>
            <w:tcW w:w="2711" w:type="dxa"/>
            <w:vMerge/>
            <w:tcBorders>
              <w:left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土木工程</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2</w:t>
            </w:r>
          </w:p>
        </w:tc>
      </w:tr>
      <w:tr w:rsidR="00FB72E2" w:rsidRPr="00394897" w:rsidTr="00FB72E2">
        <w:trPr>
          <w:trHeight w:val="459"/>
        </w:trPr>
        <w:tc>
          <w:tcPr>
            <w:tcW w:w="2711" w:type="dxa"/>
            <w:vMerge/>
            <w:tcBorders>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hint="eastAsia"/>
                <w:kern w:val="0"/>
                <w:sz w:val="24"/>
                <w:szCs w:val="24"/>
              </w:rPr>
              <w:t>会计学</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Del="00DE6C25" w:rsidRDefault="00FB72E2" w:rsidP="00FB72E2">
            <w:pPr>
              <w:widowControl/>
              <w:spacing w:line="380" w:lineRule="exact"/>
              <w:jc w:val="center"/>
              <w:rPr>
                <w:rFonts w:asciiTheme="minorEastAsia" w:hAnsiTheme="minorEastAsia" w:cs="宋体"/>
                <w:kern w:val="0"/>
                <w:sz w:val="24"/>
                <w:szCs w:val="24"/>
              </w:rPr>
            </w:pPr>
            <w:r w:rsidRPr="00394897">
              <w:rPr>
                <w:rFonts w:asciiTheme="minorEastAsia" w:hAnsiTheme="minorEastAsia" w:cs="宋体"/>
                <w:kern w:val="0"/>
                <w:sz w:val="24"/>
                <w:szCs w:val="24"/>
              </w:rPr>
              <w:t>2</w:t>
            </w:r>
          </w:p>
        </w:tc>
      </w:tr>
      <w:tr w:rsidR="00FB72E2" w:rsidRPr="00394897" w:rsidTr="00FB72E2">
        <w:trPr>
          <w:trHeight w:val="293"/>
        </w:trPr>
        <w:tc>
          <w:tcPr>
            <w:tcW w:w="2711" w:type="dxa"/>
            <w:vMerge w:val="restart"/>
            <w:tcBorders>
              <w:top w:val="nil"/>
              <w:left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绵阳物业</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kern w:val="0"/>
                <w:sz w:val="24"/>
                <w:szCs w:val="24"/>
              </w:rPr>
              <w:t>物业管理及相关专业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6</w:t>
            </w:r>
          </w:p>
        </w:tc>
      </w:tr>
      <w:tr w:rsidR="00FB72E2" w:rsidRPr="00394897" w:rsidTr="00FB72E2">
        <w:trPr>
          <w:trHeight w:val="258"/>
        </w:trPr>
        <w:tc>
          <w:tcPr>
            <w:tcW w:w="2711" w:type="dxa"/>
            <w:vMerge/>
            <w:tcBorders>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keepNext/>
              <w:keepLines/>
              <w:widowControl/>
              <w:spacing w:before="340" w:after="330" w:line="380" w:lineRule="exact"/>
              <w:jc w:val="center"/>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计算机及相关专业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4</w:t>
            </w:r>
          </w:p>
        </w:tc>
      </w:tr>
      <w:tr w:rsidR="00FB72E2" w:rsidRPr="00394897" w:rsidTr="00FB72E2">
        <w:trPr>
          <w:trHeight w:val="278"/>
        </w:trPr>
        <w:tc>
          <w:tcPr>
            <w:tcW w:w="2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富临运业</w:t>
            </w:r>
          </w:p>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（富临长运）</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人力资源管理</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11</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经营管理相关专业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5</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安全管理相关专业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5</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计算机及相关专业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2</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交通运输管理</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4</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行政管理</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3</w:t>
            </w:r>
          </w:p>
        </w:tc>
      </w:tr>
      <w:tr w:rsidR="00FB72E2" w:rsidRPr="00394897" w:rsidTr="00FB72E2">
        <w:trPr>
          <w:trHeight w:val="396"/>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酒店公司</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酒店管理</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5</w:t>
            </w:r>
          </w:p>
        </w:tc>
      </w:tr>
      <w:tr w:rsidR="00FB72E2" w:rsidRPr="00394897" w:rsidTr="00FB72E2">
        <w:trPr>
          <w:trHeight w:val="375"/>
        </w:trPr>
        <w:tc>
          <w:tcPr>
            <w:tcW w:w="2711" w:type="dxa"/>
            <w:tcBorders>
              <w:top w:val="nil"/>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富临医院</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临床医学</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5</w:t>
            </w:r>
          </w:p>
        </w:tc>
      </w:tr>
      <w:tr w:rsidR="00FB72E2" w:rsidRPr="00394897" w:rsidTr="00FB72E2">
        <w:trPr>
          <w:trHeight w:val="278"/>
        </w:trPr>
        <w:tc>
          <w:tcPr>
            <w:tcW w:w="2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资产公司</w:t>
            </w: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物业管理（商业方向）</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2</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电子商务</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1</w:t>
            </w:r>
          </w:p>
        </w:tc>
      </w:tr>
      <w:tr w:rsidR="00FB72E2" w:rsidRPr="00394897" w:rsidTr="00FB72E2">
        <w:trPr>
          <w:trHeight w:val="278"/>
        </w:trPr>
        <w:tc>
          <w:tcPr>
            <w:tcW w:w="2711" w:type="dxa"/>
            <w:vMerge/>
            <w:tcBorders>
              <w:top w:val="nil"/>
              <w:left w:val="single" w:sz="4" w:space="0" w:color="auto"/>
              <w:bottom w:val="single" w:sz="4" w:space="0" w:color="auto"/>
              <w:right w:val="single" w:sz="4" w:space="0" w:color="auto"/>
            </w:tcBorders>
            <w:vAlign w:val="center"/>
            <w:hideMark/>
          </w:tcPr>
          <w:p w:rsidR="00FB72E2" w:rsidRPr="00394897" w:rsidRDefault="00FB72E2" w:rsidP="00FB72E2">
            <w:pPr>
              <w:keepNext/>
              <w:keepLines/>
              <w:widowControl/>
              <w:spacing w:before="340" w:after="330" w:line="380" w:lineRule="exact"/>
              <w:jc w:val="left"/>
              <w:rPr>
                <w:rFonts w:asciiTheme="minorEastAsia" w:hAnsiTheme="minorEastAsia" w:cs="宋体"/>
                <w:color w:val="000000"/>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hint="eastAsia"/>
                <w:color w:val="000000"/>
                <w:kern w:val="0"/>
                <w:sz w:val="24"/>
                <w:szCs w:val="24"/>
              </w:rPr>
              <w:t>运营管理（房产方向）</w:t>
            </w:r>
          </w:p>
        </w:tc>
        <w:tc>
          <w:tcPr>
            <w:tcW w:w="1984" w:type="dxa"/>
            <w:tcBorders>
              <w:top w:val="nil"/>
              <w:left w:val="nil"/>
              <w:bottom w:val="single" w:sz="4" w:space="0" w:color="auto"/>
              <w:right w:val="single" w:sz="4" w:space="0" w:color="auto"/>
            </w:tcBorders>
            <w:shd w:val="clear" w:color="auto" w:fill="auto"/>
            <w:noWrap/>
            <w:vAlign w:val="center"/>
            <w:hideMark/>
          </w:tcPr>
          <w:p w:rsidR="00FB72E2" w:rsidRPr="00394897" w:rsidRDefault="00FB72E2" w:rsidP="00FB72E2">
            <w:pPr>
              <w:widowControl/>
              <w:spacing w:line="380" w:lineRule="exact"/>
              <w:jc w:val="center"/>
              <w:rPr>
                <w:rFonts w:asciiTheme="minorEastAsia" w:hAnsiTheme="minorEastAsia" w:cs="宋体"/>
                <w:color w:val="000000"/>
                <w:kern w:val="0"/>
                <w:sz w:val="24"/>
                <w:szCs w:val="24"/>
              </w:rPr>
            </w:pPr>
            <w:r w:rsidRPr="00394897">
              <w:rPr>
                <w:rFonts w:asciiTheme="minorEastAsia" w:hAnsiTheme="minorEastAsia" w:cs="宋体"/>
                <w:color w:val="000000"/>
                <w:kern w:val="0"/>
                <w:sz w:val="24"/>
                <w:szCs w:val="24"/>
              </w:rPr>
              <w:t>1</w:t>
            </w:r>
          </w:p>
        </w:tc>
      </w:tr>
    </w:tbl>
    <w:p w:rsidR="00A90379" w:rsidRPr="00394897" w:rsidRDefault="00A90379" w:rsidP="00FB72E2">
      <w:pPr>
        <w:spacing w:line="380" w:lineRule="exact"/>
        <w:rPr>
          <w:rFonts w:asciiTheme="minorEastAsia" w:hAnsiTheme="minorEastAsia"/>
          <w:b/>
          <w:sz w:val="24"/>
          <w:szCs w:val="24"/>
        </w:rPr>
      </w:pPr>
    </w:p>
    <w:p w:rsidR="00394897" w:rsidRPr="00FB72E2" w:rsidRDefault="00394897" w:rsidP="00FB72E2">
      <w:pPr>
        <w:spacing w:line="380" w:lineRule="exact"/>
        <w:rPr>
          <w:rFonts w:asciiTheme="minorEastAsia" w:hAnsiTheme="minorEastAsia" w:hint="eastAsia"/>
          <w:b/>
          <w:sz w:val="24"/>
          <w:szCs w:val="24"/>
        </w:rPr>
      </w:pPr>
      <w:r w:rsidRPr="00394897">
        <w:rPr>
          <w:rFonts w:asciiTheme="minorEastAsia" w:hAnsiTheme="minorEastAsia" w:hint="eastAsia"/>
          <w:b/>
          <w:sz w:val="24"/>
          <w:szCs w:val="24"/>
        </w:rPr>
        <w:t>三、</w:t>
      </w:r>
      <w:r w:rsidRPr="00394897">
        <w:rPr>
          <w:rFonts w:asciiTheme="minorEastAsia" w:hAnsiTheme="minorEastAsia"/>
          <w:b/>
          <w:sz w:val="24"/>
          <w:szCs w:val="24"/>
        </w:rPr>
        <w:t>应聘</w:t>
      </w:r>
      <w:r w:rsidRPr="00394897">
        <w:rPr>
          <w:rFonts w:asciiTheme="minorEastAsia" w:hAnsiTheme="minorEastAsia" w:hint="eastAsia"/>
          <w:b/>
          <w:sz w:val="24"/>
          <w:szCs w:val="24"/>
        </w:rPr>
        <w:t>事宜</w:t>
      </w:r>
      <w:r w:rsidRPr="00394897">
        <w:rPr>
          <w:rFonts w:asciiTheme="minorEastAsia" w:hAnsiTheme="minorEastAsia"/>
          <w:sz w:val="24"/>
          <w:szCs w:val="24"/>
        </w:rPr>
        <w:br/>
        <w:t>1、现场投递：毕业生宣讲会、双选会现场投递简历。</w:t>
      </w:r>
      <w:r w:rsidRPr="00394897">
        <w:rPr>
          <w:rFonts w:asciiTheme="minorEastAsia" w:hAnsiTheme="minorEastAsia"/>
          <w:sz w:val="24"/>
          <w:szCs w:val="24"/>
        </w:rPr>
        <w:br/>
        <w:t>2、邮箱投递：请将电子简历投递至公司招聘邮箱：fulin_hr@163.com</w:t>
      </w:r>
      <w:r w:rsidRPr="00394897">
        <w:rPr>
          <w:rFonts w:asciiTheme="minorEastAsia" w:hAnsiTheme="minorEastAsia"/>
          <w:sz w:val="24"/>
          <w:szCs w:val="24"/>
        </w:rPr>
        <w:br/>
        <w:t>邮件</w:t>
      </w:r>
      <w:r w:rsidRPr="00394897">
        <w:rPr>
          <w:rFonts w:asciiTheme="minorEastAsia" w:hAnsiTheme="minorEastAsia"/>
          <w:b/>
          <w:color w:val="FF0000"/>
          <w:sz w:val="24"/>
          <w:szCs w:val="24"/>
        </w:rPr>
        <w:t>主题及简历标题</w:t>
      </w:r>
      <w:r w:rsidRPr="00394897">
        <w:rPr>
          <w:rFonts w:asciiTheme="minorEastAsia" w:hAnsiTheme="minorEastAsia"/>
          <w:sz w:val="24"/>
          <w:szCs w:val="24"/>
        </w:rPr>
        <w:t>请注明“应聘单位+应聘专业+姓名+学校+专业”</w:t>
      </w:r>
      <w:r w:rsidRPr="00394897">
        <w:rPr>
          <w:rFonts w:asciiTheme="minorEastAsia" w:hAnsiTheme="minorEastAsia" w:hint="eastAsia"/>
          <w:sz w:val="24"/>
          <w:szCs w:val="24"/>
        </w:rPr>
        <w:t>。</w:t>
      </w:r>
    </w:p>
    <w:p w:rsidR="00394897" w:rsidRPr="00394897" w:rsidRDefault="00394897" w:rsidP="00FB72E2">
      <w:pPr>
        <w:spacing w:line="380" w:lineRule="exact"/>
        <w:rPr>
          <w:rFonts w:asciiTheme="minorEastAsia" w:hAnsiTheme="minorEastAsia"/>
          <w:sz w:val="24"/>
          <w:szCs w:val="24"/>
        </w:rPr>
      </w:pPr>
      <w:r w:rsidRPr="00394897">
        <w:rPr>
          <w:rFonts w:asciiTheme="minorEastAsia" w:hAnsiTheme="minorEastAsia" w:hint="eastAsia"/>
          <w:sz w:val="24"/>
          <w:szCs w:val="24"/>
        </w:rPr>
        <w:t>3、应聘流程：投递简历——参加宣讲会——初试——复试——录用通知。</w:t>
      </w:r>
    </w:p>
    <w:sectPr w:rsidR="00394897" w:rsidRPr="00394897" w:rsidSect="005163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44" w:rsidRDefault="000F5144" w:rsidP="00A90379">
      <w:r>
        <w:separator/>
      </w:r>
    </w:p>
  </w:endnote>
  <w:endnote w:type="continuationSeparator" w:id="1">
    <w:p w:rsidR="000F5144" w:rsidRDefault="000F5144" w:rsidP="00A903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44" w:rsidRDefault="000F5144" w:rsidP="00A90379">
      <w:r>
        <w:separator/>
      </w:r>
    </w:p>
  </w:footnote>
  <w:footnote w:type="continuationSeparator" w:id="1">
    <w:p w:rsidR="000F5144" w:rsidRDefault="000F5144" w:rsidP="00A903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379"/>
    <w:rsid w:val="000F5144"/>
    <w:rsid w:val="00123DBC"/>
    <w:rsid w:val="001D5922"/>
    <w:rsid w:val="00251525"/>
    <w:rsid w:val="00394897"/>
    <w:rsid w:val="00417D57"/>
    <w:rsid w:val="005868B9"/>
    <w:rsid w:val="008F522D"/>
    <w:rsid w:val="009223C4"/>
    <w:rsid w:val="00A90379"/>
    <w:rsid w:val="00AD4B66"/>
    <w:rsid w:val="00E21685"/>
    <w:rsid w:val="00FB7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0379"/>
    <w:rPr>
      <w:sz w:val="18"/>
      <w:szCs w:val="18"/>
    </w:rPr>
  </w:style>
  <w:style w:type="paragraph" w:styleId="a4">
    <w:name w:val="footer"/>
    <w:basedOn w:val="a"/>
    <w:link w:val="Char0"/>
    <w:uiPriority w:val="99"/>
    <w:semiHidden/>
    <w:unhideWhenUsed/>
    <w:rsid w:val="00A903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0379"/>
    <w:rPr>
      <w:sz w:val="18"/>
      <w:szCs w:val="18"/>
    </w:rPr>
  </w:style>
  <w:style w:type="character" w:styleId="a5">
    <w:name w:val="Strong"/>
    <w:basedOn w:val="a0"/>
    <w:uiPriority w:val="22"/>
    <w:qFormat/>
    <w:rsid w:val="00394897"/>
    <w:rPr>
      <w:b/>
      <w:bCs/>
    </w:rPr>
  </w:style>
  <w:style w:type="character" w:customStyle="1" w:styleId="apple-converted-space">
    <w:name w:val="apple-converted-space"/>
    <w:basedOn w:val="a0"/>
    <w:rsid w:val="00394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邓佳菱</dc:creator>
  <cp:keywords/>
  <dc:description/>
  <cp:lastModifiedBy>邓佳菱</cp:lastModifiedBy>
  <cp:revision>7</cp:revision>
  <dcterms:created xsi:type="dcterms:W3CDTF">2015-09-14T06:57:00Z</dcterms:created>
  <dcterms:modified xsi:type="dcterms:W3CDTF">2015-09-16T07:49:00Z</dcterms:modified>
</cp:coreProperties>
</file>