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ind w:firstLine="0" w:firstLineChars="0"/>
        <w:jc w:val="center"/>
        <w:rPr>
          <w:rFonts w:ascii="华文行楷" w:hAnsi="黑体" w:eastAsia="华文行楷"/>
          <w:b/>
          <w:sz w:val="96"/>
          <w:szCs w:val="36"/>
        </w:rPr>
      </w:pPr>
      <w:r>
        <w:rPr>
          <w:rFonts w:hint="eastAsia" w:ascii="华文行楷" w:hAnsi="黑体" w:eastAsia="华文行楷"/>
          <w:b/>
          <w:sz w:val="96"/>
          <w:szCs w:val="36"/>
        </w:rPr>
        <w:t>“筑世者”</w:t>
      </w:r>
    </w:p>
    <w:p>
      <w:pPr>
        <w:pStyle w:val="8"/>
        <w:spacing w:line="360" w:lineRule="auto"/>
        <w:ind w:firstLine="0" w:firstLineChars="0"/>
        <w:jc w:val="center"/>
        <w:rPr>
          <w:rFonts w:ascii="华文行楷" w:hAnsi="黑体" w:eastAsia="华文行楷"/>
          <w:b/>
          <w:sz w:val="48"/>
          <w:szCs w:val="36"/>
        </w:rPr>
      </w:pPr>
      <w:r>
        <w:rPr>
          <w:rFonts w:hint="eastAsia" w:ascii="华文行楷" w:hAnsi="黑体" w:eastAsia="华文行楷"/>
          <w:b/>
          <w:sz w:val="48"/>
          <w:szCs w:val="36"/>
        </w:rPr>
        <w:t>加入</w:t>
      </w:r>
      <w:r>
        <w:rPr>
          <w:rFonts w:hint="eastAsia" w:ascii="华文行楷" w:hAnsi="黑体" w:eastAsia="华文行楷"/>
          <w:b/>
          <w:sz w:val="56"/>
          <w:szCs w:val="72"/>
        </w:rPr>
        <w:t>海外</w:t>
      </w:r>
      <w:r>
        <w:rPr>
          <w:rFonts w:hint="eastAsia" w:ascii="华文行楷" w:hAnsi="黑体" w:eastAsia="华文行楷"/>
          <w:b/>
          <w:sz w:val="48"/>
          <w:szCs w:val="36"/>
        </w:rPr>
        <w:t>、影响世界</w:t>
      </w:r>
    </w:p>
    <w:p>
      <w:pPr>
        <w:pStyle w:val="8"/>
        <w:spacing w:line="360" w:lineRule="auto"/>
        <w:ind w:firstLine="0" w:firstLineChars="0"/>
        <w:jc w:val="center"/>
        <w:rPr>
          <w:rFonts w:ascii="黑体" w:hAnsi="黑体" w:eastAsia="黑体"/>
          <w:b/>
          <w:sz w:val="11"/>
          <w:szCs w:val="36"/>
        </w:rPr>
      </w:pPr>
    </w:p>
    <w:p>
      <w:pPr>
        <w:pStyle w:val="8"/>
        <w:spacing w:line="360" w:lineRule="auto"/>
        <w:ind w:firstLine="0" w:firstLineChars="0"/>
        <w:jc w:val="center"/>
        <w:rPr>
          <w:rFonts w:ascii="仿宋" w:hAnsi="仿宋" w:eastAsia="仿宋"/>
          <w:b/>
          <w:sz w:val="28"/>
          <w:szCs w:val="36"/>
        </w:rPr>
      </w:pPr>
      <w:r>
        <w:rPr>
          <w:rFonts w:hint="eastAsia" w:ascii="仿宋" w:hAnsi="仿宋" w:eastAsia="仿宋"/>
          <w:b/>
          <w:sz w:val="28"/>
          <w:szCs w:val="36"/>
        </w:rPr>
        <w:t>——中国建筑海外事业部201</w:t>
      </w:r>
      <w:r>
        <w:rPr>
          <w:rFonts w:ascii="仿宋" w:hAnsi="仿宋" w:eastAsia="仿宋"/>
          <w:b/>
          <w:sz w:val="28"/>
          <w:szCs w:val="36"/>
        </w:rPr>
        <w:t>8</w:t>
      </w:r>
      <w:r>
        <w:rPr>
          <w:rFonts w:hint="eastAsia" w:ascii="仿宋" w:hAnsi="仿宋" w:eastAsia="仿宋"/>
          <w:b/>
          <w:sz w:val="28"/>
          <w:szCs w:val="36"/>
        </w:rPr>
        <w:t>年校园招聘简章</w:t>
      </w:r>
    </w:p>
    <w:p>
      <w:pPr>
        <w:autoSpaceDE w:val="0"/>
        <w:autoSpaceDN w:val="0"/>
        <w:adjustRightInd w:val="0"/>
        <w:spacing w:before="156" w:beforeLines="50" w:after="156" w:afterLines="50" w:line="360" w:lineRule="exact"/>
        <w:jc w:val="left"/>
        <w:rPr>
          <w:rFonts w:ascii="仿宋" w:hAnsi="仿宋" w:eastAsia="仿宋"/>
          <w:b/>
          <w:color w:val="000000"/>
          <w:kern w:val="0"/>
          <w:sz w:val="28"/>
          <w:szCs w:val="28"/>
        </w:rPr>
      </w:pPr>
      <w:r>
        <w:rPr>
          <w:rFonts w:hint="eastAsia" w:ascii="仿宋" w:hAnsi="仿宋" w:eastAsia="仿宋"/>
          <w:b/>
          <w:color w:val="000000"/>
          <w:kern w:val="0"/>
          <w:sz w:val="28"/>
          <w:szCs w:val="28"/>
        </w:rPr>
        <w:t>海外介绍</w:t>
      </w:r>
    </w:p>
    <w:p>
      <w:pPr>
        <w:autoSpaceDE w:val="0"/>
        <w:autoSpaceDN w:val="0"/>
        <w:adjustRightInd w:val="0"/>
        <w:spacing w:before="156" w:beforeLines="50" w:after="156" w:afterLines="50" w:line="360" w:lineRule="exact"/>
        <w:ind w:firstLine="420"/>
        <w:jc w:val="left"/>
        <w:rPr>
          <w:rFonts w:ascii="仿宋" w:hAnsi="仿宋" w:eastAsia="仿宋"/>
          <w:color w:val="000000"/>
          <w:kern w:val="0"/>
          <w:szCs w:val="21"/>
        </w:rPr>
      </w:pPr>
      <w:r>
        <w:rPr>
          <w:rFonts w:hint="eastAsia" w:ascii="仿宋" w:hAnsi="仿宋" w:eastAsia="仿宋"/>
          <w:color w:val="000000"/>
          <w:kern w:val="0"/>
          <w:szCs w:val="21"/>
        </w:rPr>
        <w:t>中国建筑股份有限公司（以下简称“中国建筑”）是中国最大的建筑地产综合企业集团，中国最大的房屋建筑承包商，长期位居中国国际工程承包业务前列，是发展中国家和地区最大的跨国建筑公司以及全球最大的住宅工程建造商。多年来，中国建筑以承建“高、大、精、尖、新”工程著称，承建了大量中国及其他国家或地区的地标性建筑，位列201</w:t>
      </w:r>
      <w:r>
        <w:rPr>
          <w:rFonts w:ascii="仿宋" w:hAnsi="仿宋" w:eastAsia="仿宋"/>
          <w:color w:val="000000"/>
          <w:kern w:val="0"/>
          <w:szCs w:val="21"/>
        </w:rPr>
        <w:t>7</w:t>
      </w:r>
      <w:r>
        <w:rPr>
          <w:rFonts w:hint="eastAsia" w:ascii="仿宋" w:hAnsi="仿宋" w:eastAsia="仿宋"/>
          <w:color w:val="000000"/>
          <w:kern w:val="0"/>
          <w:szCs w:val="21"/>
        </w:rPr>
        <w:t>年“世界500强”第</w:t>
      </w:r>
      <w:r>
        <w:rPr>
          <w:rFonts w:ascii="仿宋" w:hAnsi="仿宋" w:eastAsia="仿宋"/>
          <w:color w:val="000000"/>
          <w:kern w:val="0"/>
          <w:szCs w:val="21"/>
        </w:rPr>
        <w:t>24</w:t>
      </w:r>
      <w:r>
        <w:rPr>
          <w:rFonts w:hint="eastAsia" w:ascii="仿宋" w:hAnsi="仿宋" w:eastAsia="仿宋"/>
          <w:color w:val="000000"/>
          <w:kern w:val="0"/>
          <w:szCs w:val="21"/>
        </w:rPr>
        <w:t>名。</w:t>
      </w:r>
    </w:p>
    <w:p>
      <w:pPr>
        <w:autoSpaceDE w:val="0"/>
        <w:autoSpaceDN w:val="0"/>
        <w:adjustRightInd w:val="0"/>
        <w:spacing w:before="156" w:beforeLines="50" w:after="156" w:afterLines="50" w:line="360" w:lineRule="exact"/>
        <w:ind w:firstLine="420"/>
        <w:jc w:val="left"/>
        <w:rPr>
          <w:rFonts w:ascii="仿宋" w:hAnsi="仿宋" w:eastAsia="仿宋"/>
          <w:color w:val="000000"/>
          <w:kern w:val="0"/>
          <w:szCs w:val="21"/>
        </w:rPr>
      </w:pPr>
      <w:r>
        <w:rPr>
          <w:rFonts w:hint="eastAsia" w:ascii="仿宋" w:hAnsi="仿宋" w:eastAsia="仿宋"/>
          <w:color w:val="000000"/>
          <w:kern w:val="0"/>
          <w:szCs w:val="21"/>
        </w:rPr>
        <w:t>中国建筑海外事业部总部位于北京，在新加坡、中东、中西非、赤几、斯里兰卡、埃及、巴基斯坦、肯尼亚等国家和地区设有多个分支机构，海外业务覆盖东南亚、东北亚、北美、北非、南非、欧洲以及中东地区。经过不断发展与调整，中国建筑海外事业部目前主要承担以下重要职能：根据授权代表中建股份承担部分海外业务职能管理工作；归口管理中建系统各二级机构海外业务，带领二级机构“走出去”；负责所辖区域内的海外业务发展和风险管控，同时牵头策划和组织该区域内的海外投资业务。</w:t>
      </w:r>
    </w:p>
    <w:p>
      <w:pPr>
        <w:ind w:firstLine="420" w:firstLineChars="200"/>
        <w:rPr>
          <w:rFonts w:ascii="仿宋" w:hAnsi="仿宋" w:eastAsia="仿宋"/>
          <w:color w:val="000000"/>
          <w:kern w:val="0"/>
          <w:szCs w:val="21"/>
        </w:rPr>
      </w:pPr>
      <w:r>
        <w:rPr>
          <w:rFonts w:hint="eastAsia" w:ascii="仿宋" w:hAnsi="仿宋" w:eastAsia="仿宋"/>
          <w:color w:val="000000"/>
          <w:kern w:val="0"/>
          <w:szCs w:val="21"/>
        </w:rPr>
        <w:t>中国建筑将一直秉承“中国建筑，服务跨越五洲；过程精品，质量重于泰山”的经营理念，为世界贡献更多伟大的精品建筑。</w:t>
      </w:r>
    </w:p>
    <w:p>
      <w:pPr>
        <w:ind w:firstLine="420" w:firstLineChars="200"/>
        <w:rPr>
          <w:rFonts w:ascii="仿宋" w:hAnsi="仿宋" w:eastAsia="仿宋"/>
          <w:color w:val="000000"/>
          <w:kern w:val="0"/>
          <w:szCs w:val="21"/>
        </w:rPr>
      </w:pPr>
    </w:p>
    <w:p>
      <w:pPr>
        <w:autoSpaceDE w:val="0"/>
        <w:autoSpaceDN w:val="0"/>
        <w:adjustRightInd w:val="0"/>
        <w:spacing w:before="156" w:beforeLines="50" w:after="156" w:afterLines="50" w:line="360" w:lineRule="exact"/>
        <w:jc w:val="left"/>
        <w:rPr>
          <w:rFonts w:ascii="仿宋" w:hAnsi="仿宋" w:eastAsia="仿宋"/>
          <w:b/>
          <w:color w:val="000000"/>
          <w:kern w:val="0"/>
          <w:sz w:val="28"/>
          <w:szCs w:val="28"/>
        </w:rPr>
      </w:pPr>
      <w:r>
        <w:rPr>
          <w:rFonts w:hint="eastAsia" w:ascii="仿宋" w:hAnsi="仿宋" w:eastAsia="仿宋"/>
          <w:b/>
          <w:color w:val="000000"/>
          <w:kern w:val="0"/>
          <w:sz w:val="28"/>
          <w:szCs w:val="28"/>
        </w:rPr>
        <w:t>“筑世者”校招计划</w:t>
      </w:r>
    </w:p>
    <w:p>
      <w:pPr>
        <w:spacing w:line="360" w:lineRule="auto"/>
        <w:ind w:firstLine="420" w:firstLineChars="200"/>
        <w:rPr>
          <w:rFonts w:ascii="仿宋" w:hAnsi="仿宋" w:eastAsia="仿宋"/>
          <w:color w:val="000000"/>
          <w:kern w:val="0"/>
          <w:szCs w:val="21"/>
        </w:rPr>
      </w:pPr>
      <w:r>
        <w:rPr>
          <w:rFonts w:hint="eastAsia" w:ascii="仿宋" w:hAnsi="仿宋" w:eastAsia="仿宋"/>
          <w:color w:val="000000"/>
          <w:kern w:val="0"/>
          <w:szCs w:val="21"/>
        </w:rPr>
        <w:t>旨在全国范围内筛选优秀的应届毕业生，通过国外大型工程项目工作经验和公司青年职员培养体系，打造出国内外一体化的更广阔、更有延续性的事业发展平台，培养出国际施工企业所需要的专业化、职业化、国际化的国际工程优秀管理人员。</w:t>
      </w:r>
    </w:p>
    <w:p>
      <w:pPr>
        <w:spacing w:line="360" w:lineRule="auto"/>
        <w:ind w:firstLine="420" w:firstLineChars="200"/>
        <w:rPr>
          <w:rFonts w:ascii="仿宋" w:hAnsi="仿宋" w:eastAsia="仿宋"/>
          <w:color w:val="000000"/>
          <w:kern w:val="0"/>
          <w:szCs w:val="21"/>
        </w:rPr>
      </w:pPr>
    </w:p>
    <w:p>
      <w:pPr>
        <w:spacing w:line="360" w:lineRule="auto"/>
        <w:rPr>
          <w:rFonts w:ascii="仿宋" w:hAnsi="仿宋" w:eastAsia="仿宋"/>
          <w:color w:val="000000"/>
          <w:kern w:val="0"/>
          <w:szCs w:val="21"/>
        </w:rPr>
      </w:pPr>
    </w:p>
    <w:p>
      <w:pPr>
        <w:autoSpaceDE w:val="0"/>
        <w:autoSpaceDN w:val="0"/>
        <w:adjustRightInd w:val="0"/>
        <w:spacing w:before="156" w:beforeLines="50" w:after="156" w:afterLines="50" w:line="360" w:lineRule="exact"/>
        <w:jc w:val="left"/>
        <w:rPr>
          <w:rFonts w:ascii="仿宋" w:hAnsi="仿宋" w:eastAsia="仿宋"/>
          <w:b/>
          <w:color w:val="000000"/>
          <w:kern w:val="0"/>
          <w:sz w:val="28"/>
          <w:szCs w:val="28"/>
        </w:rPr>
      </w:pPr>
      <w:bookmarkStart w:id="0" w:name="_GoBack"/>
      <w:r>
        <w:rPr>
          <w:rFonts w:hint="eastAsia" w:ascii="仿宋" w:hAnsi="仿宋" w:eastAsia="仿宋"/>
          <w:b/>
          <w:color w:val="000000"/>
          <w:kern w:val="0"/>
          <w:sz w:val="28"/>
          <w:szCs w:val="28"/>
        </w:rPr>
        <w:t>“筑世者”校招需求</w:t>
      </w:r>
    </w:p>
    <w:p>
      <w:pPr>
        <w:spacing w:line="360" w:lineRule="auto"/>
        <w:rPr>
          <w:rFonts w:ascii="仿宋" w:hAnsi="仿宋" w:eastAsia="仿宋"/>
          <w:color w:val="000000"/>
          <w:kern w:val="0"/>
          <w:szCs w:val="21"/>
        </w:rPr>
      </w:pPr>
    </w:p>
    <w:tbl>
      <w:tblPr>
        <w:tblStyle w:val="7"/>
        <w:tblW w:w="8222" w:type="dxa"/>
        <w:tblInd w:w="-5" w:type="dxa"/>
        <w:tblLayout w:type="fixed"/>
        <w:tblCellMar>
          <w:top w:w="15" w:type="dxa"/>
          <w:left w:w="108" w:type="dxa"/>
          <w:bottom w:w="15" w:type="dxa"/>
          <w:right w:w="108" w:type="dxa"/>
        </w:tblCellMar>
      </w:tblPr>
      <w:tblGrid>
        <w:gridCol w:w="2694"/>
        <w:gridCol w:w="2693"/>
        <w:gridCol w:w="1276"/>
        <w:gridCol w:w="1559"/>
      </w:tblGrid>
      <w:tr>
        <w:tblPrEx>
          <w:tblLayout w:type="fixed"/>
          <w:tblCellMar>
            <w:top w:w="15" w:type="dxa"/>
            <w:left w:w="108" w:type="dxa"/>
            <w:bottom w:w="15" w:type="dxa"/>
            <w:right w:w="108" w:type="dxa"/>
          </w:tblCellMar>
        </w:tblPrEx>
        <w:trPr>
          <w:trHeight w:val="312" w:hRule="atLeast"/>
        </w:trPr>
        <w:tc>
          <w:tcPr>
            <w:tcW w:w="2694"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部门/分公司</w:t>
            </w:r>
          </w:p>
        </w:tc>
        <w:tc>
          <w:tcPr>
            <w:tcW w:w="2693"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需求专业</w:t>
            </w:r>
          </w:p>
        </w:tc>
        <w:tc>
          <w:tcPr>
            <w:tcW w:w="1276"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学历</w:t>
            </w:r>
          </w:p>
        </w:tc>
        <w:tc>
          <w:tcPr>
            <w:tcW w:w="1559"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工作地点</w:t>
            </w:r>
          </w:p>
        </w:tc>
      </w:tr>
      <w:tr>
        <w:tblPrEx>
          <w:tblLayout w:type="fixed"/>
          <w:tblCellMar>
            <w:top w:w="15" w:type="dxa"/>
            <w:left w:w="108" w:type="dxa"/>
            <w:bottom w:w="15" w:type="dxa"/>
            <w:right w:w="108" w:type="dxa"/>
          </w:tblCellMar>
        </w:tblPrEx>
        <w:trPr>
          <w:trHeight w:val="312" w:hRule="atLeast"/>
        </w:trPr>
        <w:tc>
          <w:tcPr>
            <w:tcW w:w="2694" w:type="dxa"/>
            <w:vMerge w:val="restart"/>
            <w:tcBorders>
              <w:top w:val="single" w:color="auto" w:sz="4" w:space="0"/>
              <w:left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海外事业部总部</w:t>
            </w:r>
          </w:p>
        </w:tc>
        <w:tc>
          <w:tcPr>
            <w:tcW w:w="26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会计/财务管理</w:t>
            </w:r>
          </w:p>
        </w:tc>
        <w:tc>
          <w:tcPr>
            <w:tcW w:w="1276" w:type="dxa"/>
            <w:vMerge w:val="restart"/>
            <w:tcBorders>
              <w:top w:val="single" w:color="auto" w:sz="4" w:space="0"/>
              <w:left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本科及以上</w:t>
            </w:r>
          </w:p>
          <w:p>
            <w:pPr>
              <w:ind w:left="-113" w:leftChars="-54"/>
              <w:jc w:val="center"/>
              <w:rPr>
                <w:rFonts w:ascii="仿宋" w:hAnsi="仿宋" w:eastAsia="仿宋" w:cs="宋体"/>
                <w:color w:val="000000"/>
                <w:kern w:val="0"/>
                <w:sz w:val="20"/>
                <w:szCs w:val="20"/>
              </w:rPr>
            </w:pPr>
          </w:p>
        </w:tc>
        <w:tc>
          <w:tcPr>
            <w:tcW w:w="1559" w:type="dxa"/>
            <w:vMerge w:val="restart"/>
            <w:tcBorders>
              <w:top w:val="single" w:color="auto" w:sz="4" w:space="0"/>
              <w:left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北京/海外</w:t>
            </w:r>
          </w:p>
        </w:tc>
      </w:tr>
      <w:tr>
        <w:tblPrEx>
          <w:tblLayout w:type="fixed"/>
          <w:tblCellMar>
            <w:top w:w="15" w:type="dxa"/>
            <w:left w:w="108" w:type="dxa"/>
            <w:bottom w:w="15" w:type="dxa"/>
            <w:right w:w="108" w:type="dxa"/>
          </w:tblCellMar>
        </w:tblPrEx>
        <w:trPr>
          <w:trHeight w:val="312" w:hRule="atLeast"/>
        </w:trPr>
        <w:tc>
          <w:tcPr>
            <w:tcW w:w="2694" w:type="dxa"/>
            <w:vMerge w:val="continue"/>
            <w:tcBorders>
              <w:left w:val="single" w:color="auto" w:sz="4" w:space="0"/>
              <w:right w:val="single" w:color="auto" w:sz="4" w:space="0"/>
            </w:tcBorders>
            <w:vAlign w:val="center"/>
          </w:tcPr>
          <w:p>
            <w:pPr>
              <w:widowControl/>
              <w:ind w:left="-113" w:leftChars="-54"/>
              <w:jc w:val="left"/>
              <w:rPr>
                <w:rFonts w:ascii="仿宋" w:hAnsi="仿宋" w:eastAsia="仿宋" w:cs="宋体"/>
                <w:color w:val="000000"/>
                <w:kern w:val="0"/>
                <w:sz w:val="20"/>
                <w:szCs w:val="20"/>
              </w:rPr>
            </w:pPr>
          </w:p>
        </w:tc>
        <w:tc>
          <w:tcPr>
            <w:tcW w:w="26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人力资源管理</w:t>
            </w:r>
          </w:p>
        </w:tc>
        <w:tc>
          <w:tcPr>
            <w:tcW w:w="1276" w:type="dxa"/>
            <w:vMerge w:val="continue"/>
            <w:tcBorders>
              <w:left w:val="single" w:color="auto" w:sz="4" w:space="0"/>
              <w:right w:val="single" w:color="auto" w:sz="4" w:space="0"/>
            </w:tcBorders>
            <w:shd w:val="clear" w:color="000000" w:fill="FFFFFF"/>
            <w:vAlign w:val="center"/>
          </w:tcPr>
          <w:p>
            <w:pPr>
              <w:ind w:left="-113" w:leftChars="-54"/>
              <w:jc w:val="center"/>
              <w:rPr>
                <w:rFonts w:ascii="仿宋" w:hAnsi="仿宋" w:eastAsia="仿宋" w:cs="宋体"/>
                <w:color w:val="000000"/>
                <w:kern w:val="0"/>
                <w:sz w:val="20"/>
                <w:szCs w:val="20"/>
              </w:rPr>
            </w:pPr>
          </w:p>
        </w:tc>
        <w:tc>
          <w:tcPr>
            <w:tcW w:w="1559" w:type="dxa"/>
            <w:vMerge w:val="continue"/>
            <w:tcBorders>
              <w:left w:val="single" w:color="auto" w:sz="4" w:space="0"/>
              <w:right w:val="single" w:color="auto" w:sz="4" w:space="0"/>
            </w:tcBorders>
            <w:shd w:val="clear" w:color="000000" w:fill="FFFFFF"/>
            <w:vAlign w:val="center"/>
          </w:tcPr>
          <w:p>
            <w:pPr>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312" w:hRule="atLeast"/>
        </w:trPr>
        <w:tc>
          <w:tcPr>
            <w:tcW w:w="2694" w:type="dxa"/>
            <w:vMerge w:val="continue"/>
            <w:tcBorders>
              <w:left w:val="single" w:color="auto" w:sz="4" w:space="0"/>
              <w:bottom w:val="nil"/>
              <w:right w:val="single" w:color="auto" w:sz="4" w:space="0"/>
            </w:tcBorders>
            <w:vAlign w:val="center"/>
          </w:tcPr>
          <w:p>
            <w:pPr>
              <w:widowControl/>
              <w:ind w:left="-113" w:leftChars="-54"/>
              <w:jc w:val="left"/>
              <w:rPr>
                <w:rFonts w:ascii="仿宋" w:hAnsi="仿宋" w:eastAsia="仿宋" w:cs="宋体"/>
                <w:color w:val="000000"/>
                <w:kern w:val="0"/>
                <w:sz w:val="20"/>
                <w:szCs w:val="20"/>
              </w:rPr>
            </w:pPr>
          </w:p>
        </w:tc>
        <w:tc>
          <w:tcPr>
            <w:tcW w:w="26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法律</w:t>
            </w:r>
          </w:p>
        </w:tc>
        <w:tc>
          <w:tcPr>
            <w:tcW w:w="1276" w:type="dxa"/>
            <w:vMerge w:val="continue"/>
            <w:tcBorders>
              <w:left w:val="single" w:color="auto" w:sz="4" w:space="0"/>
              <w:right w:val="single" w:color="auto" w:sz="4" w:space="0"/>
            </w:tcBorders>
            <w:shd w:val="clear" w:color="000000" w:fill="FFFFFF"/>
            <w:vAlign w:val="center"/>
          </w:tcPr>
          <w:p>
            <w:pPr>
              <w:ind w:left="-113" w:leftChars="-54"/>
              <w:jc w:val="center"/>
              <w:rPr>
                <w:rFonts w:ascii="仿宋" w:hAnsi="仿宋" w:eastAsia="仿宋" w:cs="宋体"/>
                <w:color w:val="000000"/>
                <w:kern w:val="0"/>
                <w:sz w:val="20"/>
                <w:szCs w:val="20"/>
              </w:rPr>
            </w:pPr>
          </w:p>
        </w:tc>
        <w:tc>
          <w:tcPr>
            <w:tcW w:w="1559" w:type="dxa"/>
            <w:vMerge w:val="continue"/>
            <w:tcBorders>
              <w:left w:val="single" w:color="auto" w:sz="4" w:space="0"/>
              <w:bottom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312" w:hRule="atLeast"/>
        </w:trPr>
        <w:tc>
          <w:tcPr>
            <w:tcW w:w="2694" w:type="dxa"/>
            <w:vMerge w:val="restart"/>
            <w:tcBorders>
              <w:top w:val="single" w:color="auto" w:sz="4" w:space="0"/>
              <w:left w:val="single" w:color="auto" w:sz="4" w:space="0"/>
              <w:bottom w:val="nil"/>
              <w:right w:val="single" w:color="auto" w:sz="4" w:space="0"/>
            </w:tcBorders>
            <w:shd w:val="clear" w:color="000000" w:fill="DAEEF3"/>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中建（南洋）</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发展有限公司</w:t>
            </w:r>
          </w:p>
        </w:tc>
        <w:tc>
          <w:tcPr>
            <w:tcW w:w="2693"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土木工程</w:t>
            </w:r>
          </w:p>
        </w:tc>
        <w:tc>
          <w:tcPr>
            <w:tcW w:w="1276"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kern w:val="0"/>
                <w:sz w:val="20"/>
                <w:szCs w:val="20"/>
              </w:rPr>
            </w:pPr>
          </w:p>
        </w:tc>
        <w:tc>
          <w:tcPr>
            <w:tcW w:w="1559" w:type="dxa"/>
            <w:vMerge w:val="restart"/>
            <w:tcBorders>
              <w:top w:val="single" w:color="auto" w:sz="4" w:space="0"/>
              <w:left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新加坡</w:t>
            </w:r>
          </w:p>
          <w:p>
            <w:pPr>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312" w:hRule="atLeast"/>
        </w:trPr>
        <w:tc>
          <w:tcPr>
            <w:tcW w:w="2694" w:type="dxa"/>
            <w:vMerge w:val="continue"/>
            <w:tcBorders>
              <w:top w:val="single" w:color="auto" w:sz="4" w:space="0"/>
              <w:left w:val="single" w:color="auto" w:sz="4" w:space="0"/>
              <w:bottom w:val="nil"/>
              <w:right w:val="single" w:color="auto" w:sz="4" w:space="0"/>
            </w:tcBorders>
            <w:vAlign w:val="center"/>
          </w:tcPr>
          <w:p>
            <w:pPr>
              <w:widowControl/>
              <w:ind w:left="-113" w:leftChars="-54"/>
              <w:jc w:val="left"/>
              <w:rPr>
                <w:rFonts w:ascii="仿宋" w:hAnsi="仿宋" w:eastAsia="仿宋" w:cs="宋体"/>
                <w:color w:val="000000"/>
                <w:kern w:val="0"/>
                <w:sz w:val="20"/>
                <w:szCs w:val="20"/>
              </w:rPr>
            </w:pPr>
          </w:p>
        </w:tc>
        <w:tc>
          <w:tcPr>
            <w:tcW w:w="2693"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工程管理</w:t>
            </w:r>
          </w:p>
        </w:tc>
        <w:tc>
          <w:tcPr>
            <w:tcW w:w="1276"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kern w:val="0"/>
                <w:sz w:val="20"/>
                <w:szCs w:val="20"/>
              </w:rPr>
            </w:pPr>
          </w:p>
        </w:tc>
        <w:tc>
          <w:tcPr>
            <w:tcW w:w="1559"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312" w:hRule="atLeast"/>
        </w:trPr>
        <w:tc>
          <w:tcPr>
            <w:tcW w:w="2694" w:type="dxa"/>
            <w:vMerge w:val="continue"/>
            <w:tcBorders>
              <w:top w:val="single" w:color="auto" w:sz="4" w:space="0"/>
              <w:left w:val="single" w:color="auto" w:sz="4" w:space="0"/>
              <w:bottom w:val="nil"/>
              <w:right w:val="single" w:color="auto" w:sz="4" w:space="0"/>
            </w:tcBorders>
            <w:vAlign w:val="center"/>
          </w:tcPr>
          <w:p>
            <w:pPr>
              <w:widowControl/>
              <w:ind w:left="-113" w:leftChars="-54"/>
              <w:jc w:val="left"/>
              <w:rPr>
                <w:rFonts w:ascii="仿宋" w:hAnsi="仿宋" w:eastAsia="仿宋" w:cs="宋体"/>
                <w:color w:val="000000"/>
                <w:kern w:val="0"/>
                <w:sz w:val="20"/>
                <w:szCs w:val="20"/>
              </w:rPr>
            </w:pPr>
          </w:p>
        </w:tc>
        <w:tc>
          <w:tcPr>
            <w:tcW w:w="2693"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地产开发</w:t>
            </w:r>
          </w:p>
        </w:tc>
        <w:tc>
          <w:tcPr>
            <w:tcW w:w="1276"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kern w:val="0"/>
                <w:sz w:val="20"/>
                <w:szCs w:val="20"/>
              </w:rPr>
            </w:pPr>
          </w:p>
        </w:tc>
        <w:tc>
          <w:tcPr>
            <w:tcW w:w="1559"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312" w:hRule="atLeast"/>
        </w:trPr>
        <w:tc>
          <w:tcPr>
            <w:tcW w:w="2694" w:type="dxa"/>
            <w:vMerge w:val="continue"/>
            <w:tcBorders>
              <w:top w:val="single" w:color="auto" w:sz="4" w:space="0"/>
              <w:left w:val="single" w:color="auto" w:sz="4" w:space="0"/>
              <w:bottom w:val="nil"/>
              <w:right w:val="single" w:color="auto" w:sz="4" w:space="0"/>
            </w:tcBorders>
            <w:vAlign w:val="center"/>
          </w:tcPr>
          <w:p>
            <w:pPr>
              <w:widowControl/>
              <w:ind w:left="-113" w:leftChars="-54"/>
              <w:jc w:val="left"/>
              <w:rPr>
                <w:rFonts w:ascii="仿宋" w:hAnsi="仿宋" w:eastAsia="仿宋" w:cs="宋体"/>
                <w:color w:val="000000"/>
                <w:kern w:val="0"/>
                <w:sz w:val="20"/>
                <w:szCs w:val="20"/>
              </w:rPr>
            </w:pPr>
          </w:p>
        </w:tc>
        <w:tc>
          <w:tcPr>
            <w:tcW w:w="2693"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投资运营</w:t>
            </w:r>
          </w:p>
        </w:tc>
        <w:tc>
          <w:tcPr>
            <w:tcW w:w="1276"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kern w:val="0"/>
                <w:sz w:val="20"/>
                <w:szCs w:val="20"/>
              </w:rPr>
            </w:pPr>
          </w:p>
        </w:tc>
        <w:tc>
          <w:tcPr>
            <w:tcW w:w="1559"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312" w:hRule="atLeast"/>
        </w:trPr>
        <w:tc>
          <w:tcPr>
            <w:tcW w:w="2694" w:type="dxa"/>
            <w:vMerge w:val="continue"/>
            <w:tcBorders>
              <w:top w:val="single" w:color="auto" w:sz="4" w:space="0"/>
              <w:left w:val="single" w:color="auto" w:sz="4" w:space="0"/>
              <w:bottom w:val="nil"/>
              <w:right w:val="single" w:color="auto" w:sz="4" w:space="0"/>
            </w:tcBorders>
            <w:vAlign w:val="center"/>
          </w:tcPr>
          <w:p>
            <w:pPr>
              <w:widowControl/>
              <w:ind w:left="-113" w:leftChars="-54"/>
              <w:jc w:val="left"/>
              <w:rPr>
                <w:rFonts w:ascii="仿宋" w:hAnsi="仿宋" w:eastAsia="仿宋" w:cs="宋体"/>
                <w:color w:val="000000"/>
                <w:kern w:val="0"/>
                <w:sz w:val="20"/>
                <w:szCs w:val="20"/>
              </w:rPr>
            </w:pPr>
          </w:p>
        </w:tc>
        <w:tc>
          <w:tcPr>
            <w:tcW w:w="2693"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道路与桥梁</w:t>
            </w:r>
          </w:p>
        </w:tc>
        <w:tc>
          <w:tcPr>
            <w:tcW w:w="1276"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kern w:val="0"/>
                <w:sz w:val="20"/>
                <w:szCs w:val="20"/>
              </w:rPr>
            </w:pPr>
          </w:p>
        </w:tc>
        <w:tc>
          <w:tcPr>
            <w:tcW w:w="1559" w:type="dxa"/>
            <w:vMerge w:val="continue"/>
            <w:tcBorders>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312" w:hRule="atLeast"/>
        </w:trPr>
        <w:tc>
          <w:tcPr>
            <w:tcW w:w="2694" w:type="dxa"/>
            <w:vMerge w:val="restart"/>
            <w:tcBorders>
              <w:top w:val="single" w:color="auto" w:sz="4" w:space="0"/>
              <w:left w:val="single" w:color="auto" w:sz="4" w:space="0"/>
              <w:bottom w:val="nil"/>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中建中东</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有限责任公司</w:t>
            </w:r>
          </w:p>
        </w:tc>
        <w:tc>
          <w:tcPr>
            <w:tcW w:w="26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土木工程</w:t>
            </w:r>
          </w:p>
        </w:tc>
        <w:tc>
          <w:tcPr>
            <w:tcW w:w="1276" w:type="dxa"/>
            <w:vMerge w:val="continue"/>
            <w:tcBorders>
              <w:left w:val="single" w:color="auto" w:sz="4" w:space="0"/>
              <w:right w:val="single" w:color="auto" w:sz="4" w:space="0"/>
            </w:tcBorders>
            <w:shd w:val="clear" w:color="000000" w:fill="FFFFFF"/>
            <w:vAlign w:val="center"/>
          </w:tcPr>
          <w:p>
            <w:pPr>
              <w:ind w:left="-113" w:leftChars="-54"/>
              <w:jc w:val="center"/>
              <w:rPr>
                <w:rFonts w:ascii="仿宋" w:hAnsi="仿宋" w:eastAsia="仿宋" w:cs="宋体"/>
                <w:kern w:val="0"/>
                <w:sz w:val="20"/>
                <w:szCs w:val="20"/>
              </w:rPr>
            </w:pPr>
          </w:p>
        </w:tc>
        <w:tc>
          <w:tcPr>
            <w:tcW w:w="1559" w:type="dxa"/>
            <w:vMerge w:val="restart"/>
            <w:tcBorders>
              <w:top w:val="single" w:color="auto" w:sz="4" w:space="0"/>
              <w:left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阿联酋</w:t>
            </w:r>
          </w:p>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科威特</w:t>
            </w:r>
          </w:p>
        </w:tc>
      </w:tr>
      <w:tr>
        <w:tblPrEx>
          <w:tblLayout w:type="fixed"/>
          <w:tblCellMar>
            <w:top w:w="15" w:type="dxa"/>
            <w:left w:w="108" w:type="dxa"/>
            <w:bottom w:w="15" w:type="dxa"/>
            <w:right w:w="108" w:type="dxa"/>
          </w:tblCellMar>
        </w:tblPrEx>
        <w:trPr>
          <w:trHeight w:val="312" w:hRule="atLeast"/>
        </w:trPr>
        <w:tc>
          <w:tcPr>
            <w:tcW w:w="2694" w:type="dxa"/>
            <w:vMerge w:val="continue"/>
            <w:tcBorders>
              <w:top w:val="single" w:color="auto" w:sz="4" w:space="0"/>
              <w:left w:val="single" w:color="auto" w:sz="4" w:space="0"/>
              <w:bottom w:val="nil"/>
              <w:right w:val="single" w:color="auto" w:sz="4" w:space="0"/>
            </w:tcBorders>
            <w:vAlign w:val="center"/>
          </w:tcPr>
          <w:p>
            <w:pPr>
              <w:widowControl/>
              <w:ind w:left="-113" w:leftChars="-54"/>
              <w:jc w:val="left"/>
              <w:rPr>
                <w:rFonts w:ascii="仿宋" w:hAnsi="仿宋" w:eastAsia="仿宋" w:cs="宋体"/>
                <w:color w:val="000000"/>
                <w:kern w:val="0"/>
                <w:sz w:val="20"/>
                <w:szCs w:val="20"/>
              </w:rPr>
            </w:pPr>
          </w:p>
        </w:tc>
        <w:tc>
          <w:tcPr>
            <w:tcW w:w="26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工程管理</w:t>
            </w:r>
          </w:p>
        </w:tc>
        <w:tc>
          <w:tcPr>
            <w:tcW w:w="1276" w:type="dxa"/>
            <w:vMerge w:val="continue"/>
            <w:tcBorders>
              <w:left w:val="single" w:color="auto" w:sz="4" w:space="0"/>
              <w:right w:val="single" w:color="auto" w:sz="4" w:space="0"/>
            </w:tcBorders>
            <w:shd w:val="clear" w:color="000000" w:fill="FFFFFF"/>
            <w:vAlign w:val="center"/>
          </w:tcPr>
          <w:p>
            <w:pPr>
              <w:ind w:left="-113" w:leftChars="-54"/>
              <w:jc w:val="center"/>
              <w:rPr>
                <w:rFonts w:ascii="仿宋" w:hAnsi="仿宋" w:eastAsia="仿宋" w:cs="宋体"/>
                <w:kern w:val="0"/>
                <w:sz w:val="20"/>
                <w:szCs w:val="20"/>
              </w:rPr>
            </w:pPr>
          </w:p>
        </w:tc>
        <w:tc>
          <w:tcPr>
            <w:tcW w:w="1559" w:type="dxa"/>
            <w:vMerge w:val="continue"/>
            <w:tcBorders>
              <w:left w:val="single" w:color="auto" w:sz="4" w:space="0"/>
              <w:right w:val="single" w:color="auto" w:sz="4" w:space="0"/>
            </w:tcBorders>
            <w:shd w:val="clear" w:color="000000" w:fill="FFFFFF"/>
            <w:vAlign w:val="center"/>
          </w:tcPr>
          <w:p>
            <w:pPr>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312" w:hRule="atLeast"/>
        </w:trPr>
        <w:tc>
          <w:tcPr>
            <w:tcW w:w="2694" w:type="dxa"/>
            <w:vMerge w:val="continue"/>
            <w:tcBorders>
              <w:top w:val="single" w:color="auto" w:sz="4" w:space="0"/>
              <w:left w:val="single" w:color="auto" w:sz="4" w:space="0"/>
              <w:bottom w:val="nil"/>
              <w:right w:val="single" w:color="auto" w:sz="4" w:space="0"/>
            </w:tcBorders>
            <w:vAlign w:val="center"/>
          </w:tcPr>
          <w:p>
            <w:pPr>
              <w:widowControl/>
              <w:ind w:left="-113" w:leftChars="-54"/>
              <w:jc w:val="left"/>
              <w:rPr>
                <w:rFonts w:ascii="仿宋" w:hAnsi="仿宋" w:eastAsia="仿宋" w:cs="宋体"/>
                <w:color w:val="000000"/>
                <w:kern w:val="0"/>
                <w:sz w:val="20"/>
                <w:szCs w:val="20"/>
              </w:rPr>
            </w:pPr>
          </w:p>
        </w:tc>
        <w:tc>
          <w:tcPr>
            <w:tcW w:w="26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道路与桥梁</w:t>
            </w:r>
          </w:p>
        </w:tc>
        <w:tc>
          <w:tcPr>
            <w:tcW w:w="1276" w:type="dxa"/>
            <w:vMerge w:val="continue"/>
            <w:tcBorders>
              <w:left w:val="single" w:color="auto" w:sz="4" w:space="0"/>
              <w:right w:val="single" w:color="auto" w:sz="4" w:space="0"/>
            </w:tcBorders>
            <w:shd w:val="clear" w:color="000000" w:fill="FFFFFF"/>
            <w:vAlign w:val="center"/>
          </w:tcPr>
          <w:p>
            <w:pPr>
              <w:ind w:left="-113" w:leftChars="-54"/>
              <w:jc w:val="center"/>
              <w:rPr>
                <w:rFonts w:ascii="仿宋" w:hAnsi="仿宋" w:eastAsia="仿宋" w:cs="宋体"/>
                <w:kern w:val="0"/>
                <w:sz w:val="20"/>
                <w:szCs w:val="20"/>
              </w:rPr>
            </w:pPr>
          </w:p>
        </w:tc>
        <w:tc>
          <w:tcPr>
            <w:tcW w:w="1559" w:type="dxa"/>
            <w:vMerge w:val="continue"/>
            <w:tcBorders>
              <w:left w:val="single" w:color="auto" w:sz="4" w:space="0"/>
              <w:bottom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312" w:hRule="atLeast"/>
        </w:trPr>
        <w:tc>
          <w:tcPr>
            <w:tcW w:w="2694" w:type="dxa"/>
            <w:vMerge w:val="restart"/>
            <w:tcBorders>
              <w:top w:val="single" w:color="auto" w:sz="4" w:space="0"/>
              <w:left w:val="single" w:color="auto" w:sz="4" w:space="0"/>
              <w:bottom w:val="nil"/>
              <w:right w:val="single" w:color="auto" w:sz="4" w:space="0"/>
            </w:tcBorders>
            <w:shd w:val="clear" w:color="000000" w:fill="DAEEF3"/>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中建赤道几内亚</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有限公司</w:t>
            </w:r>
          </w:p>
        </w:tc>
        <w:tc>
          <w:tcPr>
            <w:tcW w:w="2693"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土木工程/工程管理</w:t>
            </w:r>
          </w:p>
        </w:tc>
        <w:tc>
          <w:tcPr>
            <w:tcW w:w="1276"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kern w:val="0"/>
                <w:sz w:val="20"/>
                <w:szCs w:val="20"/>
              </w:rPr>
            </w:pPr>
          </w:p>
        </w:tc>
        <w:tc>
          <w:tcPr>
            <w:tcW w:w="1559" w:type="dxa"/>
            <w:vMerge w:val="restart"/>
            <w:tcBorders>
              <w:top w:val="single" w:color="auto" w:sz="4" w:space="0"/>
              <w:left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color w:val="000000"/>
                <w:kern w:val="0"/>
                <w:sz w:val="20"/>
                <w:szCs w:val="20"/>
              </w:rPr>
            </w:pPr>
          </w:p>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赤道几内亚</w:t>
            </w:r>
          </w:p>
          <w:p>
            <w:pPr>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312" w:hRule="atLeast"/>
        </w:trPr>
        <w:tc>
          <w:tcPr>
            <w:tcW w:w="2694" w:type="dxa"/>
            <w:vMerge w:val="continue"/>
            <w:tcBorders>
              <w:top w:val="single" w:color="auto" w:sz="4" w:space="0"/>
              <w:left w:val="single" w:color="auto" w:sz="4" w:space="0"/>
              <w:bottom w:val="nil"/>
              <w:right w:val="single" w:color="auto" w:sz="4" w:space="0"/>
            </w:tcBorders>
            <w:vAlign w:val="center"/>
          </w:tcPr>
          <w:p>
            <w:pPr>
              <w:widowControl/>
              <w:ind w:left="-113" w:leftChars="-54"/>
              <w:jc w:val="left"/>
              <w:rPr>
                <w:rFonts w:ascii="仿宋" w:hAnsi="仿宋" w:eastAsia="仿宋" w:cs="宋体"/>
                <w:color w:val="000000"/>
                <w:kern w:val="0"/>
                <w:sz w:val="20"/>
                <w:szCs w:val="20"/>
              </w:rPr>
            </w:pPr>
          </w:p>
        </w:tc>
        <w:tc>
          <w:tcPr>
            <w:tcW w:w="2693"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道路与桥梁</w:t>
            </w:r>
          </w:p>
        </w:tc>
        <w:tc>
          <w:tcPr>
            <w:tcW w:w="1276"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kern w:val="0"/>
                <w:sz w:val="20"/>
                <w:szCs w:val="20"/>
              </w:rPr>
            </w:pPr>
          </w:p>
        </w:tc>
        <w:tc>
          <w:tcPr>
            <w:tcW w:w="1559"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312" w:hRule="atLeast"/>
        </w:trPr>
        <w:tc>
          <w:tcPr>
            <w:tcW w:w="2694" w:type="dxa"/>
            <w:vMerge w:val="continue"/>
            <w:tcBorders>
              <w:top w:val="single" w:color="auto" w:sz="4" w:space="0"/>
              <w:left w:val="single" w:color="auto" w:sz="4" w:space="0"/>
              <w:bottom w:val="nil"/>
              <w:right w:val="single" w:color="auto" w:sz="4" w:space="0"/>
            </w:tcBorders>
            <w:vAlign w:val="center"/>
          </w:tcPr>
          <w:p>
            <w:pPr>
              <w:widowControl/>
              <w:ind w:left="-113" w:leftChars="-54"/>
              <w:jc w:val="left"/>
              <w:rPr>
                <w:rFonts w:ascii="仿宋" w:hAnsi="仿宋" w:eastAsia="仿宋" w:cs="宋体"/>
                <w:color w:val="000000"/>
                <w:kern w:val="0"/>
                <w:sz w:val="20"/>
                <w:szCs w:val="20"/>
              </w:rPr>
            </w:pPr>
          </w:p>
        </w:tc>
        <w:tc>
          <w:tcPr>
            <w:tcW w:w="2693"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西班牙语</w:t>
            </w:r>
          </w:p>
        </w:tc>
        <w:tc>
          <w:tcPr>
            <w:tcW w:w="1276" w:type="dxa"/>
            <w:vMerge w:val="continue"/>
            <w:tcBorders>
              <w:left w:val="single" w:color="auto" w:sz="4" w:space="0"/>
              <w:right w:val="single" w:color="auto" w:sz="4" w:space="0"/>
            </w:tcBorders>
            <w:shd w:val="clear" w:color="000000" w:fill="DAEEF3"/>
            <w:vAlign w:val="center"/>
          </w:tcPr>
          <w:p>
            <w:pPr>
              <w:ind w:left="-113" w:leftChars="-54"/>
              <w:jc w:val="center"/>
              <w:rPr>
                <w:rFonts w:ascii="仿宋" w:hAnsi="仿宋" w:eastAsia="仿宋" w:cs="宋体"/>
                <w:kern w:val="0"/>
                <w:sz w:val="20"/>
                <w:szCs w:val="20"/>
              </w:rPr>
            </w:pPr>
          </w:p>
        </w:tc>
        <w:tc>
          <w:tcPr>
            <w:tcW w:w="1559" w:type="dxa"/>
            <w:vMerge w:val="continue"/>
            <w:tcBorders>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color w:val="000000"/>
                <w:kern w:val="0"/>
                <w:sz w:val="20"/>
                <w:szCs w:val="20"/>
              </w:rPr>
            </w:pPr>
          </w:p>
        </w:tc>
      </w:tr>
      <w:tr>
        <w:tblPrEx>
          <w:tblLayout w:type="fixed"/>
          <w:tblCellMar>
            <w:top w:w="15" w:type="dxa"/>
            <w:left w:w="108" w:type="dxa"/>
            <w:bottom w:w="15" w:type="dxa"/>
            <w:right w:w="108" w:type="dxa"/>
          </w:tblCellMar>
        </w:tblPrEx>
        <w:trPr>
          <w:trHeight w:val="588" w:hRule="atLeast"/>
        </w:trPr>
        <w:tc>
          <w:tcPr>
            <w:tcW w:w="2694" w:type="dxa"/>
            <w:tcBorders>
              <w:top w:val="single" w:color="auto" w:sz="4" w:space="0"/>
              <w:left w:val="single" w:color="auto" w:sz="4" w:space="0"/>
              <w:bottom w:val="nil"/>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中建肯尼亚有限公司</w:t>
            </w:r>
          </w:p>
        </w:tc>
        <w:tc>
          <w:tcPr>
            <w:tcW w:w="26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土木工程/工程管理</w:t>
            </w:r>
          </w:p>
        </w:tc>
        <w:tc>
          <w:tcPr>
            <w:tcW w:w="1276" w:type="dxa"/>
            <w:vMerge w:val="continue"/>
            <w:tcBorders>
              <w:left w:val="single" w:color="auto" w:sz="4" w:space="0"/>
              <w:right w:val="single" w:color="auto" w:sz="4" w:space="0"/>
            </w:tcBorders>
            <w:shd w:val="clear" w:color="000000" w:fill="FFFFFF"/>
            <w:vAlign w:val="center"/>
          </w:tcPr>
          <w:p>
            <w:pPr>
              <w:ind w:left="-113" w:leftChars="-54"/>
              <w:jc w:val="center"/>
              <w:rPr>
                <w:rFonts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肯尼亚</w:t>
            </w:r>
          </w:p>
        </w:tc>
      </w:tr>
      <w:tr>
        <w:tblPrEx>
          <w:tblLayout w:type="fixed"/>
          <w:tblCellMar>
            <w:top w:w="15" w:type="dxa"/>
            <w:left w:w="108" w:type="dxa"/>
            <w:bottom w:w="15" w:type="dxa"/>
            <w:right w:w="108" w:type="dxa"/>
          </w:tblCellMar>
        </w:tblPrEx>
        <w:trPr>
          <w:trHeight w:val="624" w:hRule="atLeast"/>
        </w:trPr>
        <w:tc>
          <w:tcPr>
            <w:tcW w:w="2694"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中建巴基斯坦PKM项目部</w:t>
            </w:r>
          </w:p>
        </w:tc>
        <w:tc>
          <w:tcPr>
            <w:tcW w:w="2693"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kern w:val="0"/>
                <w:sz w:val="20"/>
                <w:szCs w:val="20"/>
              </w:rPr>
            </w:pPr>
            <w:r>
              <w:rPr>
                <w:rFonts w:hint="eastAsia" w:ascii="仿宋" w:hAnsi="仿宋" w:eastAsia="仿宋" w:cs="宋体"/>
                <w:kern w:val="0"/>
                <w:sz w:val="20"/>
                <w:szCs w:val="20"/>
              </w:rPr>
              <w:t>道路与桥梁</w:t>
            </w:r>
          </w:p>
        </w:tc>
        <w:tc>
          <w:tcPr>
            <w:tcW w:w="1276" w:type="dxa"/>
            <w:vMerge w:val="continue"/>
            <w:tcBorders>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000000" w:fill="DAEEF3"/>
            <w:vAlign w:val="center"/>
          </w:tcPr>
          <w:p>
            <w:pPr>
              <w:widowControl/>
              <w:ind w:left="-113" w:leftChars="-54"/>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巴基斯坦</w:t>
            </w:r>
          </w:p>
        </w:tc>
      </w:tr>
    </w:tbl>
    <w:p>
      <w:pPr>
        <w:spacing w:line="360" w:lineRule="auto"/>
        <w:rPr>
          <w:rFonts w:ascii="仿宋" w:hAnsi="仿宋" w:eastAsia="仿宋"/>
          <w:color w:val="000000"/>
          <w:kern w:val="0"/>
          <w:szCs w:val="21"/>
        </w:rPr>
      </w:pPr>
    </w:p>
    <w:p>
      <w:pPr>
        <w:autoSpaceDE w:val="0"/>
        <w:autoSpaceDN w:val="0"/>
        <w:adjustRightInd w:val="0"/>
        <w:spacing w:before="156" w:beforeLines="50" w:after="156" w:afterLines="50" w:line="360" w:lineRule="exact"/>
        <w:jc w:val="left"/>
        <w:rPr>
          <w:rFonts w:ascii="仿宋" w:hAnsi="仿宋" w:eastAsia="仿宋"/>
          <w:b/>
          <w:color w:val="000000"/>
          <w:kern w:val="0"/>
          <w:sz w:val="28"/>
          <w:szCs w:val="28"/>
        </w:rPr>
      </w:pPr>
      <w:r>
        <w:rPr>
          <w:rFonts w:hint="eastAsia" w:ascii="仿宋" w:hAnsi="仿宋" w:eastAsia="仿宋"/>
          <w:b/>
          <w:color w:val="000000"/>
          <w:kern w:val="0"/>
          <w:sz w:val="28"/>
          <w:szCs w:val="28"/>
        </w:rPr>
        <w:t>加入“筑世者”条件</w:t>
      </w:r>
    </w:p>
    <w:p>
      <w:pPr>
        <w:pStyle w:val="8"/>
        <w:numPr>
          <w:ilvl w:val="0"/>
          <w:numId w:val="1"/>
        </w:numPr>
        <w:spacing w:before="156" w:beforeLines="50" w:after="156" w:afterLines="50"/>
        <w:ind w:left="357" w:hanging="357" w:firstLineChars="0"/>
        <w:rPr>
          <w:rFonts w:ascii="仿宋" w:hAnsi="仿宋" w:eastAsia="仿宋"/>
          <w:color w:val="000000"/>
          <w:kern w:val="0"/>
          <w:szCs w:val="21"/>
        </w:rPr>
      </w:pPr>
      <w:r>
        <w:rPr>
          <w:rFonts w:hint="eastAsia" w:ascii="仿宋" w:hAnsi="仿宋" w:eastAsia="仿宋"/>
          <w:color w:val="000000"/>
          <w:kern w:val="0"/>
          <w:szCs w:val="21"/>
        </w:rPr>
        <w:t>国家统招201</w:t>
      </w:r>
      <w:r>
        <w:rPr>
          <w:rFonts w:ascii="仿宋" w:hAnsi="仿宋" w:eastAsia="仿宋"/>
          <w:color w:val="000000"/>
          <w:kern w:val="0"/>
          <w:szCs w:val="21"/>
        </w:rPr>
        <w:t>8</w:t>
      </w:r>
      <w:r>
        <w:rPr>
          <w:rFonts w:hint="eastAsia" w:ascii="仿宋" w:hAnsi="仿宋" w:eastAsia="仿宋"/>
          <w:color w:val="000000"/>
          <w:kern w:val="0"/>
          <w:szCs w:val="21"/>
        </w:rPr>
        <w:t>年应届硕士研究生、本科生；</w:t>
      </w:r>
    </w:p>
    <w:p>
      <w:pPr>
        <w:pStyle w:val="8"/>
        <w:numPr>
          <w:ilvl w:val="0"/>
          <w:numId w:val="1"/>
        </w:numPr>
        <w:spacing w:before="156" w:beforeLines="50" w:after="156" w:afterLines="50"/>
        <w:ind w:left="357" w:hanging="357" w:firstLineChars="0"/>
        <w:rPr>
          <w:rFonts w:ascii="仿宋" w:hAnsi="仿宋" w:eastAsia="仿宋"/>
          <w:color w:val="000000"/>
          <w:kern w:val="0"/>
          <w:szCs w:val="21"/>
        </w:rPr>
      </w:pPr>
      <w:r>
        <w:rPr>
          <w:rFonts w:hint="eastAsia" w:ascii="仿宋" w:hAnsi="仿宋" w:eastAsia="仿宋"/>
          <w:color w:val="000000"/>
          <w:kern w:val="0"/>
          <w:szCs w:val="21"/>
        </w:rPr>
        <w:t>专业与应聘岗位所需专业对口，具备优秀的专业知识储备，学习成绩优异，无挂科、重修记录；</w:t>
      </w:r>
    </w:p>
    <w:p>
      <w:pPr>
        <w:widowControl/>
        <w:numPr>
          <w:ilvl w:val="0"/>
          <w:numId w:val="1"/>
        </w:numPr>
        <w:spacing w:before="156" w:beforeLines="50" w:after="156" w:afterLines="50"/>
        <w:ind w:left="357" w:hanging="357"/>
        <w:jc w:val="left"/>
        <w:rPr>
          <w:rFonts w:ascii="仿宋" w:hAnsi="仿宋" w:eastAsia="仿宋"/>
          <w:color w:val="000000"/>
          <w:kern w:val="0"/>
          <w:szCs w:val="21"/>
        </w:rPr>
      </w:pPr>
      <w:r>
        <w:rPr>
          <w:rFonts w:hint="eastAsia" w:ascii="仿宋" w:hAnsi="仿宋" w:eastAsia="仿宋"/>
          <w:color w:val="000000"/>
          <w:kern w:val="0"/>
          <w:szCs w:val="21"/>
        </w:rPr>
        <w:t>具备良好的英语沟通表达能力，本科学历毕业生需取得大学英语四级考试合格证书，硕士研究生学历毕业生需取得大学英语六级考试合格证书；</w:t>
      </w:r>
      <w:r>
        <w:rPr>
          <w:rFonts w:ascii="仿宋" w:hAnsi="仿宋" w:eastAsia="仿宋"/>
          <w:color w:val="000000"/>
          <w:kern w:val="0"/>
          <w:szCs w:val="21"/>
        </w:rPr>
        <w:t xml:space="preserve"> </w:t>
      </w:r>
    </w:p>
    <w:p>
      <w:pPr>
        <w:widowControl/>
        <w:numPr>
          <w:ilvl w:val="0"/>
          <w:numId w:val="1"/>
        </w:numPr>
        <w:spacing w:before="156" w:beforeLines="50" w:after="156" w:afterLines="50"/>
        <w:ind w:left="357" w:hanging="357"/>
        <w:jc w:val="left"/>
        <w:rPr>
          <w:rFonts w:ascii="仿宋" w:hAnsi="仿宋" w:eastAsia="仿宋"/>
          <w:color w:val="000000"/>
          <w:kern w:val="0"/>
          <w:szCs w:val="21"/>
        </w:rPr>
      </w:pPr>
      <w:r>
        <w:rPr>
          <w:rFonts w:hint="eastAsia" w:ascii="仿宋" w:hAnsi="仿宋" w:eastAsia="仿宋"/>
          <w:color w:val="000000"/>
          <w:kern w:val="0"/>
          <w:szCs w:val="21"/>
        </w:rPr>
        <w:t>热爱建筑行业，愿意拥有国际化的工作平台，有长期致力于海外工作的意愿。</w:t>
      </w:r>
    </w:p>
    <w:bookmarkEnd w:id="0"/>
    <w:p>
      <w:pPr>
        <w:autoSpaceDE w:val="0"/>
        <w:autoSpaceDN w:val="0"/>
        <w:adjustRightInd w:val="0"/>
        <w:spacing w:before="156" w:beforeLines="50" w:after="156" w:afterLines="50" w:line="360" w:lineRule="exact"/>
        <w:jc w:val="left"/>
        <w:rPr>
          <w:rFonts w:ascii="仿宋" w:hAnsi="仿宋" w:eastAsia="仿宋"/>
          <w:b/>
          <w:color w:val="000000"/>
          <w:kern w:val="0"/>
          <w:sz w:val="28"/>
          <w:szCs w:val="28"/>
        </w:rPr>
      </w:pPr>
    </w:p>
    <w:p>
      <w:pPr>
        <w:autoSpaceDE w:val="0"/>
        <w:autoSpaceDN w:val="0"/>
        <w:adjustRightInd w:val="0"/>
        <w:spacing w:before="156" w:beforeLines="50" w:after="156" w:afterLines="50" w:line="360" w:lineRule="exact"/>
        <w:jc w:val="left"/>
        <w:rPr>
          <w:rFonts w:ascii="仿宋" w:hAnsi="仿宋" w:eastAsia="仿宋"/>
          <w:b/>
          <w:color w:val="000000"/>
          <w:kern w:val="0"/>
          <w:sz w:val="28"/>
          <w:szCs w:val="28"/>
        </w:rPr>
      </w:pPr>
      <w:r>
        <w:rPr>
          <w:rFonts w:hint="eastAsia" w:ascii="仿宋" w:hAnsi="仿宋" w:eastAsia="仿宋"/>
          <w:b/>
          <w:color w:val="000000"/>
          <w:kern w:val="0"/>
          <w:sz w:val="28"/>
          <w:szCs w:val="28"/>
        </w:rPr>
        <w:t>招聘流程</w:t>
      </w:r>
    </w:p>
    <w:p>
      <w:pPr>
        <w:spacing w:line="360" w:lineRule="auto"/>
        <w:rPr>
          <w:rFonts w:ascii="仿宋" w:hAnsi="仿宋" w:eastAsia="仿宋"/>
          <w:color w:val="000000"/>
          <w:kern w:val="0"/>
          <w:szCs w:val="21"/>
        </w:rPr>
      </w:pPr>
      <w:r>
        <w:drawing>
          <wp:inline distT="0" distB="0" distL="0" distR="0">
            <wp:extent cx="5274310" cy="2966720"/>
            <wp:effectExtent l="0" t="0" r="2540" b="5080"/>
            <wp:docPr id="13" name="图片 13" descr="C:\Users\黄黄\AppData\Local\Microsoft\Windows\INetCache\Content.Word\招聘流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黄黄\AppData\Local\Microsoft\Windows\INetCache\Content.Word\招聘流程.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2966720"/>
                    </a:xfrm>
                    <a:prstGeom prst="rect">
                      <a:avLst/>
                    </a:prstGeom>
                    <a:noFill/>
                    <a:ln>
                      <a:noFill/>
                    </a:ln>
                  </pic:spPr>
                </pic:pic>
              </a:graphicData>
            </a:graphic>
          </wp:inline>
        </w:drawing>
      </w:r>
    </w:p>
    <w:p>
      <w:pPr>
        <w:autoSpaceDE w:val="0"/>
        <w:autoSpaceDN w:val="0"/>
        <w:adjustRightInd w:val="0"/>
        <w:spacing w:before="156" w:beforeLines="50" w:after="156" w:afterLines="50" w:line="360" w:lineRule="exact"/>
        <w:jc w:val="left"/>
        <w:rPr>
          <w:rFonts w:ascii="仿宋" w:hAnsi="仿宋" w:eastAsia="仿宋"/>
          <w:b/>
          <w:color w:val="000000"/>
          <w:kern w:val="0"/>
          <w:sz w:val="28"/>
          <w:szCs w:val="28"/>
        </w:rPr>
      </w:pPr>
      <w:r>
        <w:rPr>
          <w:rFonts w:ascii="仿宋" w:hAnsi="仿宋" w:eastAsia="仿宋"/>
        </w:rPr>
        <w:drawing>
          <wp:anchor distT="0" distB="0" distL="114300" distR="114300" simplePos="0" relativeHeight="251659264" behindDoc="1" locked="0" layoutInCell="1" allowOverlap="1">
            <wp:simplePos x="0" y="0"/>
            <wp:positionH relativeFrom="column">
              <wp:posOffset>4305300</wp:posOffset>
            </wp:positionH>
            <wp:positionV relativeFrom="paragraph">
              <wp:posOffset>229235</wp:posOffset>
            </wp:positionV>
            <wp:extent cx="1127125" cy="1127125"/>
            <wp:effectExtent l="0" t="0" r="0" b="0"/>
            <wp:wrapTight wrapText="bothSides">
              <wp:wrapPolygon>
                <wp:start x="0" y="0"/>
                <wp:lineTo x="0" y="21174"/>
                <wp:lineTo x="21174" y="21174"/>
                <wp:lineTo x="21174" y="0"/>
                <wp:lineTo x="0" y="0"/>
              </wp:wrapPolygon>
            </wp:wrapTight>
            <wp:docPr id="1" name="图片 1" descr="PQ}~@B@[A_CDS438D@K]A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Q}~@B@[A_CDS438D@K]A0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27125" cy="1127125"/>
                    </a:xfrm>
                    <a:prstGeom prst="rect">
                      <a:avLst/>
                    </a:prstGeom>
                    <a:noFill/>
                  </pic:spPr>
                </pic:pic>
              </a:graphicData>
            </a:graphic>
          </wp:anchor>
        </w:drawing>
      </w:r>
      <w:r>
        <w:rPr>
          <w:rFonts w:hint="eastAsia" w:ascii="仿宋" w:hAnsi="仿宋" w:eastAsia="仿宋"/>
          <w:b/>
          <w:color w:val="000000"/>
          <w:kern w:val="0"/>
          <w:sz w:val="28"/>
          <w:szCs w:val="28"/>
        </w:rPr>
        <w:t>加入方式：</w:t>
      </w:r>
    </w:p>
    <w:p>
      <w:pPr>
        <w:spacing w:line="360" w:lineRule="auto"/>
        <w:rPr>
          <w:rFonts w:ascii="仿宋" w:hAnsi="仿宋" w:eastAsia="仿宋"/>
          <w:szCs w:val="21"/>
        </w:rPr>
      </w:pPr>
      <w:r>
        <w:rPr>
          <w:rFonts w:hint="eastAsia" w:ascii="仿宋" w:hAnsi="仿宋" w:eastAsia="仿宋"/>
          <w:szCs w:val="21"/>
        </w:rPr>
        <w:t>招聘官网：</w:t>
      </w:r>
      <w:r>
        <w:fldChar w:fldCharType="begin"/>
      </w:r>
      <w:r>
        <w:instrText xml:space="preserve"> HYPERLINK "http://job.cscecoverseas.com" </w:instrText>
      </w:r>
      <w:r>
        <w:fldChar w:fldCharType="separate"/>
      </w:r>
      <w:r>
        <w:rPr>
          <w:rStyle w:val="6"/>
          <w:rFonts w:ascii="仿宋" w:hAnsi="仿宋" w:eastAsia="仿宋"/>
          <w:szCs w:val="21"/>
        </w:rPr>
        <w:t>http://job.cscecoverseas.com</w:t>
      </w:r>
      <w:r>
        <w:rPr>
          <w:rStyle w:val="6"/>
          <w:rFonts w:ascii="仿宋" w:hAnsi="仿宋" w:eastAsia="仿宋"/>
          <w:szCs w:val="21"/>
        </w:rPr>
        <w:fldChar w:fldCharType="end"/>
      </w:r>
    </w:p>
    <w:p>
      <w:pPr>
        <w:spacing w:line="360" w:lineRule="auto"/>
        <w:rPr>
          <w:rFonts w:ascii="仿宋" w:hAnsi="仿宋" w:eastAsia="仿宋"/>
          <w:color w:val="000000"/>
          <w:kern w:val="0"/>
          <w:szCs w:val="21"/>
        </w:rPr>
      </w:pPr>
      <w:r>
        <w:rPr>
          <w:rFonts w:hint="eastAsia" w:ascii="仿宋" w:hAnsi="仿宋" w:eastAsia="仿宋"/>
          <w:color w:val="000000"/>
          <w:kern w:val="0"/>
          <w:szCs w:val="21"/>
        </w:rPr>
        <w:t>在线测评网站：</w:t>
      </w:r>
      <w:r>
        <w:fldChar w:fldCharType="begin"/>
      </w:r>
      <w:r>
        <w:instrText xml:space="preserve"> HYPERLINK "http://cscec.zhiye.com/" </w:instrText>
      </w:r>
      <w:r>
        <w:fldChar w:fldCharType="separate"/>
      </w:r>
      <w:r>
        <w:rPr>
          <w:rStyle w:val="6"/>
          <w:rFonts w:ascii="仿宋" w:hAnsi="仿宋" w:eastAsia="仿宋" w:cstheme="minorBidi"/>
          <w:kern w:val="0"/>
          <w:szCs w:val="21"/>
        </w:rPr>
        <w:t>http://cscec.zhiye.com/</w:t>
      </w:r>
      <w:r>
        <w:rPr>
          <w:rStyle w:val="6"/>
          <w:rFonts w:ascii="仿宋" w:hAnsi="仿宋" w:eastAsia="仿宋" w:cstheme="minorBidi"/>
          <w:kern w:val="0"/>
          <w:szCs w:val="21"/>
        </w:rPr>
        <w:fldChar w:fldCharType="end"/>
      </w:r>
    </w:p>
    <w:p>
      <w:pPr>
        <w:spacing w:line="360" w:lineRule="auto"/>
        <w:rPr>
          <w:rFonts w:ascii="仿宋" w:hAnsi="仿宋" w:eastAsia="仿宋"/>
          <w:b/>
          <w:color w:val="000000"/>
          <w:kern w:val="0"/>
          <w:szCs w:val="21"/>
        </w:rPr>
      </w:pPr>
      <w:r>
        <w:rPr>
          <w:rFonts w:hint="eastAsia" w:ascii="仿宋" w:hAnsi="仿宋" w:eastAsia="仿宋"/>
          <w:b/>
          <w:color w:val="000000"/>
          <w:kern w:val="0"/>
          <w:szCs w:val="21"/>
        </w:rPr>
        <w:t>（2018年“筑世者”校招计划只通过线上方式进行简历收集，所有参加此次校园招聘的同学均需参加中建集团高校毕业生接收统一考试）</w:t>
      </w:r>
    </w:p>
    <w:p>
      <w:pPr>
        <w:spacing w:line="360" w:lineRule="auto"/>
        <w:rPr>
          <w:rFonts w:ascii="仿宋" w:hAnsi="仿宋" w:eastAsia="仿宋"/>
          <w:b/>
          <w:color w:val="000000"/>
          <w:kern w:val="0"/>
          <w:szCs w:val="21"/>
        </w:rPr>
      </w:pPr>
    </w:p>
    <w:p>
      <w:pPr>
        <w:spacing w:line="360" w:lineRule="auto"/>
        <w:rPr>
          <w:rFonts w:ascii="仿宋" w:hAnsi="仿宋" w:eastAsia="仿宋"/>
          <w:b/>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9615D"/>
    <w:multiLevelType w:val="multilevel"/>
    <w:tmpl w:val="265961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D1"/>
    <w:rsid w:val="000240F3"/>
    <w:rsid w:val="00062FD1"/>
    <w:rsid w:val="00257396"/>
    <w:rsid w:val="002F7CE1"/>
    <w:rsid w:val="00583A8F"/>
    <w:rsid w:val="006429B9"/>
    <w:rsid w:val="00AB050A"/>
    <w:rsid w:val="00D81250"/>
    <w:rsid w:val="00DB1AFB"/>
    <w:rsid w:val="6C7C2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uiPriority w:val="99"/>
    <w:rPr>
      <w:rFonts w:cs="Times New Roman"/>
      <w:color w:val="0000FF"/>
      <w:u w:val="single"/>
    </w:rPr>
  </w:style>
  <w:style w:type="paragraph" w:customStyle="1" w:styleId="8">
    <w:name w:val="List Paragraph"/>
    <w:basedOn w:val="1"/>
    <w:qFormat/>
    <w:uiPriority w:val="99"/>
    <w:pPr>
      <w:ind w:firstLine="420" w:firstLineChars="200"/>
    </w:pPr>
    <w:rPr>
      <w:rFonts w:ascii="Calibri" w:hAnsi="Calibri" w:eastAsia="宋体" w:cs="Times New Roman"/>
    </w:rPr>
  </w:style>
  <w:style w:type="character" w:customStyle="1" w:styleId="9">
    <w:name w:val="Unresolved Mention"/>
    <w:basedOn w:val="5"/>
    <w:unhideWhenUsed/>
    <w:uiPriority w:val="99"/>
    <w:rPr>
      <w:color w:val="808080"/>
      <w:shd w:val="clear" w:color="auto" w:fill="E6E6E6"/>
    </w:rPr>
  </w:style>
  <w:style w:type="character" w:customStyle="1" w:styleId="10">
    <w:name w:val="批注框文本 Char"/>
    <w:basedOn w:val="5"/>
    <w:link w:val="2"/>
    <w:semiHidden/>
    <w:qFormat/>
    <w:uiPriority w:val="99"/>
    <w:rPr>
      <w:sz w:val="18"/>
      <w:szCs w:val="18"/>
    </w:rPr>
  </w:style>
  <w:style w:type="character" w:customStyle="1" w:styleId="11">
    <w:name w:val="页眉 Char"/>
    <w:basedOn w:val="5"/>
    <w:link w:val="4"/>
    <w:uiPriority w:val="99"/>
    <w:rPr>
      <w:sz w:val="18"/>
      <w:szCs w:val="18"/>
    </w:rPr>
  </w:style>
  <w:style w:type="character" w:customStyle="1" w:styleId="12">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196</Words>
  <Characters>1120</Characters>
  <Lines>9</Lines>
  <Paragraphs>2</Paragraphs>
  <TotalTime>0</TotalTime>
  <ScaleCrop>false</ScaleCrop>
  <LinksUpToDate>false</LinksUpToDate>
  <CharactersWithSpaces>1314</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2017-09-02T07:40:00Z</dcterms:created>
  <dc:creator>睢士杰</dc:creator>
  <cp:lastModifiedBy>user</cp:lastModifiedBy>
  <dcterms:modified xsi:type="dcterms:W3CDTF">2017-10-10T00:34:39Z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